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ascii="宋体"/>
          <w:b/>
          <w:color w:val="000000"/>
          <w:sz w:val="30"/>
          <w:szCs w:val="30"/>
        </w:rPr>
      </w:pPr>
      <w:r>
        <w:rPr>
          <w:rFonts w:hint="eastAsia" w:ascii="宋体"/>
          <w:b/>
          <w:color w:val="000000"/>
          <w:sz w:val="30"/>
          <w:szCs w:val="30"/>
        </w:rPr>
        <w:t>修订《</w:t>
      </w:r>
      <w:r>
        <w:rPr>
          <w:rFonts w:hint="eastAsia" w:ascii="宋体"/>
          <w:b/>
          <w:color w:val="000000"/>
          <w:sz w:val="30"/>
          <w:szCs w:val="30"/>
          <w:lang w:eastAsia="zh-CN"/>
        </w:rPr>
        <w:t>工业</w:t>
      </w:r>
      <w:r>
        <w:rPr>
          <w:rFonts w:hint="eastAsia" w:ascii="宋体"/>
          <w:b/>
          <w:color w:val="000000"/>
          <w:sz w:val="30"/>
          <w:szCs w:val="30"/>
          <w:lang w:val="en-US" w:eastAsia="zh-CN"/>
        </w:rPr>
        <w:t>氧化铁</w:t>
      </w:r>
      <w:r>
        <w:rPr>
          <w:rFonts w:hint="eastAsia" w:ascii="宋体"/>
          <w:b/>
          <w:color w:val="000000"/>
          <w:sz w:val="30"/>
          <w:szCs w:val="30"/>
        </w:rPr>
        <w:t>》化工行业标准编制说明</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ascii="宋体"/>
          <w:b/>
          <w:color w:val="000000"/>
          <w:sz w:val="30"/>
          <w:szCs w:val="30"/>
        </w:rPr>
      </w:pPr>
      <w:r>
        <w:rPr>
          <w:rFonts w:hint="eastAsia" w:ascii="宋体"/>
          <w:b/>
          <w:color w:val="000000"/>
          <w:sz w:val="30"/>
          <w:szCs w:val="30"/>
        </w:rPr>
        <w:t>（</w:t>
      </w:r>
      <w:r>
        <w:rPr>
          <w:rFonts w:hint="eastAsia" w:ascii="宋体"/>
          <w:b/>
          <w:color w:val="000000"/>
          <w:sz w:val="30"/>
          <w:szCs w:val="30"/>
          <w:lang w:val="en-US" w:eastAsia="zh-CN"/>
        </w:rPr>
        <w:t>征求意见稿</w:t>
      </w:r>
      <w:r>
        <w:rPr>
          <w:rFonts w:hint="eastAsia" w:ascii="宋体"/>
          <w:b/>
          <w:color w:val="000000"/>
          <w:sz w:val="30"/>
          <w:szCs w:val="30"/>
        </w:rPr>
        <w:t>）</w:t>
      </w:r>
    </w:p>
    <w:p>
      <w:pPr>
        <w:pStyle w:val="21"/>
        <w:topLinePunct/>
        <w:autoSpaceDE/>
        <w:autoSpaceDN/>
        <w:spacing w:before="156" w:beforeLines="50" w:after="156" w:afterLines="50" w:line="360" w:lineRule="exact"/>
        <w:rPr>
          <w:rFonts w:eastAsia="黑体"/>
        </w:rPr>
      </w:pPr>
      <w:r>
        <w:rPr>
          <w:rFonts w:hint="eastAsia" w:eastAsia="黑体"/>
        </w:rPr>
        <w:t>任务来源</w:t>
      </w:r>
      <w:r>
        <w:rPr>
          <w:rFonts w:hint="eastAsia" w:ascii="黑体" w:eastAsia="黑体"/>
        </w:rPr>
        <w:t>及简要编制过程</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1</w:t>
      </w:r>
      <w:r>
        <w:rPr>
          <w:rFonts w:ascii="黑体" w:hAnsi="黑体" w:eastAsia="黑体"/>
        </w:rPr>
        <w:t xml:space="preserve">.1  </w:t>
      </w:r>
      <w:r>
        <w:rPr>
          <w:rFonts w:hint="eastAsia" w:ascii="黑体" w:hAnsi="黑体" w:eastAsia="黑体"/>
        </w:rPr>
        <w:t>任务来源</w:t>
      </w:r>
    </w:p>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0"/>
      </w:pPr>
      <w:r>
        <w:rPr>
          <w:rFonts w:hint="eastAsia"/>
          <w:lang w:val="en-US" w:eastAsia="zh-CN"/>
        </w:rPr>
        <w:t xml:space="preserve">    </w:t>
      </w:r>
      <w:r>
        <w:rPr>
          <w:rFonts w:hint="eastAsia"/>
        </w:rPr>
        <w:t>根据国家工业和信息化部文件“工信厅科函〔202</w:t>
      </w:r>
      <w:r>
        <w:rPr>
          <w:rFonts w:hint="eastAsia"/>
          <w:lang w:val="en-US" w:eastAsia="zh-CN"/>
        </w:rPr>
        <w:t>4</w:t>
      </w:r>
      <w:r>
        <w:rPr>
          <w:rFonts w:hint="eastAsia"/>
        </w:rPr>
        <w:t>〕18号《工业和信息化部办公厅关于印发2024年第一批行业标准制修订计划的通知》”的要求，于</w:t>
      </w:r>
      <w:r>
        <w:t>20</w:t>
      </w:r>
      <w:r>
        <w:rPr>
          <w:rFonts w:hint="eastAsia"/>
        </w:rPr>
        <w:t>2</w:t>
      </w:r>
      <w:r>
        <w:rPr>
          <w:rFonts w:hint="eastAsia"/>
          <w:lang w:val="en-US" w:eastAsia="zh-CN"/>
        </w:rPr>
        <w:t>5</w:t>
      </w:r>
      <w:r>
        <w:rPr>
          <w:rFonts w:hint="eastAsia"/>
        </w:rPr>
        <w:t>年</w:t>
      </w:r>
      <w:r>
        <w:rPr>
          <w:rFonts w:hint="eastAsia"/>
          <w:lang w:val="en-US" w:eastAsia="zh-CN"/>
        </w:rPr>
        <w:t>9</w:t>
      </w:r>
      <w:r>
        <w:rPr>
          <w:rFonts w:hint="eastAsia"/>
        </w:rPr>
        <w:t>月15日前完成《</w:t>
      </w:r>
      <w:r>
        <w:rPr>
          <w:rFonts w:hint="eastAsia"/>
          <w:lang w:eastAsia="zh-CN"/>
        </w:rPr>
        <w:t>工业</w:t>
      </w:r>
      <w:r>
        <w:rPr>
          <w:rFonts w:hint="eastAsia"/>
          <w:lang w:val="en-US" w:eastAsia="zh-CN"/>
        </w:rPr>
        <w:t>氧化铁</w:t>
      </w:r>
      <w:r>
        <w:rPr>
          <w:rFonts w:hint="eastAsia"/>
        </w:rPr>
        <w:t>》</w:t>
      </w:r>
      <w:r>
        <w:rPr>
          <w:rFonts w:hint="eastAsia" w:ascii="Times New Roman" w:hAnsi="Times New Roman" w:cs="Times New Roman"/>
          <w:color w:val="000000" w:themeColor="text1"/>
          <w:szCs w:val="21"/>
          <w14:textFill>
            <w14:solidFill>
              <w14:schemeClr w14:val="tx1"/>
            </w14:solidFill>
          </w14:textFill>
        </w:rPr>
        <w:t>HG</w:t>
      </w:r>
      <w:r>
        <w:rPr>
          <w:rFonts w:hint="default"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T </w:t>
      </w:r>
      <w:r>
        <w:rPr>
          <w:rFonts w:hint="eastAsia" w:cs="Times New Roman"/>
          <w:color w:val="000000" w:themeColor="text1"/>
          <w:szCs w:val="21"/>
          <w:lang w:val="en-US" w:eastAsia="zh-CN"/>
          <w14:textFill>
            <w14:solidFill>
              <w14:schemeClr w14:val="tx1"/>
            </w14:solidFill>
          </w14:textFill>
        </w:rPr>
        <w:t>2574</w:t>
      </w:r>
      <w:r>
        <w:rPr>
          <w:rFonts w:hint="eastAsia" w:ascii="Times New Roman" w:hAnsi="Times New Roman" w:cs="Times New Roman"/>
          <w:color w:val="000000" w:themeColor="text1"/>
          <w:szCs w:val="21"/>
          <w14:textFill>
            <w14:solidFill>
              <w14:schemeClr w14:val="tx1"/>
            </w14:solidFill>
          </w14:textFill>
        </w:rPr>
        <w:t>-20</w:t>
      </w:r>
      <w:r>
        <w:rPr>
          <w:rFonts w:hint="eastAsia" w:cs="Times New Roman"/>
          <w:color w:val="000000" w:themeColor="text1"/>
          <w:szCs w:val="21"/>
          <w:lang w:val="en-US" w:eastAsia="zh-CN"/>
          <w14:textFill>
            <w14:solidFill>
              <w14:schemeClr w14:val="tx1"/>
            </w14:solidFill>
          </w14:textFill>
        </w:rPr>
        <w:t>09</w:t>
      </w:r>
      <w:r>
        <w:rPr>
          <w:rFonts w:hint="eastAsia"/>
        </w:rPr>
        <w:t>化工行业标准的修订工作，计划编号为：</w:t>
      </w:r>
      <w:r>
        <w:rPr>
          <w:rFonts w:hint="eastAsia"/>
          <w:kern w:val="0"/>
          <w:sz w:val="21"/>
          <w:szCs w:val="21"/>
        </w:rPr>
        <w:t>2024</w:t>
      </w:r>
      <w:r>
        <w:rPr>
          <w:rFonts w:hint="eastAsia" w:ascii="宋体" w:hAnsi="宋体" w:eastAsia="宋体" w:cs="宋体"/>
          <w:kern w:val="0"/>
          <w:sz w:val="21"/>
          <w:szCs w:val="21"/>
        </w:rPr>
        <w:t>-</w:t>
      </w:r>
      <w:r>
        <w:rPr>
          <w:rFonts w:hint="eastAsia"/>
          <w:kern w:val="0"/>
          <w:sz w:val="21"/>
          <w:szCs w:val="21"/>
        </w:rPr>
        <w:t>01</w:t>
      </w:r>
      <w:r>
        <w:rPr>
          <w:rFonts w:hint="eastAsia"/>
          <w:kern w:val="0"/>
          <w:sz w:val="21"/>
          <w:szCs w:val="21"/>
          <w:lang w:val="en-US" w:eastAsia="zh-CN"/>
        </w:rPr>
        <w:t>80</w:t>
      </w:r>
      <w:r>
        <w:rPr>
          <w:rFonts w:hint="eastAsia"/>
          <w:kern w:val="0"/>
          <w:sz w:val="21"/>
          <w:szCs w:val="21"/>
        </w:rPr>
        <w:t>T</w:t>
      </w:r>
      <w:r>
        <w:rPr>
          <w:rFonts w:hint="eastAsia" w:ascii="宋体" w:hAnsi="宋体" w:eastAsia="宋体" w:cs="宋体"/>
          <w:kern w:val="0"/>
          <w:sz w:val="21"/>
          <w:szCs w:val="21"/>
        </w:rPr>
        <w:t>-</w:t>
      </w:r>
      <w:r>
        <w:rPr>
          <w:rFonts w:hint="eastAsia"/>
          <w:kern w:val="0"/>
          <w:sz w:val="21"/>
          <w:szCs w:val="21"/>
        </w:rPr>
        <w:t>HG</w:t>
      </w:r>
      <w:r>
        <w:rPr>
          <w:rFonts w:hint="eastAsia"/>
        </w:rPr>
        <w:t>，本标准由全国化学标准化技术委员会无机化工分技术委员会</w:t>
      </w:r>
      <w:r>
        <w:rPr>
          <w:rFonts w:hAnsi="宋体"/>
          <w:color w:val="000000"/>
        </w:rPr>
        <w:t>（</w:t>
      </w:r>
      <w:r>
        <w:rPr>
          <w:color w:val="000000"/>
        </w:rPr>
        <w:t>SAC/TC</w:t>
      </w:r>
      <w:r>
        <w:rPr>
          <w:rFonts w:hint="eastAsia"/>
          <w:color w:val="000000"/>
          <w:lang w:val="en-US" w:eastAsia="zh-CN"/>
        </w:rPr>
        <w:t xml:space="preserve"> </w:t>
      </w:r>
      <w:r>
        <w:rPr>
          <w:color w:val="000000"/>
        </w:rPr>
        <w:t>63/SC</w:t>
      </w:r>
      <w:r>
        <w:rPr>
          <w:rFonts w:hint="eastAsia"/>
          <w:color w:val="000000"/>
          <w:lang w:val="en-US" w:eastAsia="zh-CN"/>
        </w:rPr>
        <w:t xml:space="preserve"> </w:t>
      </w:r>
      <w:r>
        <w:rPr>
          <w:color w:val="000000"/>
        </w:rPr>
        <w:t>1</w:t>
      </w:r>
      <w:r>
        <w:rPr>
          <w:rFonts w:hAnsi="宋体"/>
          <w:color w:val="000000"/>
        </w:rPr>
        <w:t>）</w:t>
      </w:r>
      <w:r>
        <w:rPr>
          <w:rFonts w:hint="eastAsia"/>
        </w:rPr>
        <w:t>归口。</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outlineLvl w:val="0"/>
        <w:rPr>
          <w:rFonts w:hint="eastAsia"/>
          <w:sz w:val="21"/>
          <w:szCs w:val="21"/>
          <w:lang w:val="en-US" w:eastAsia="zh-CN"/>
        </w:rPr>
      </w:pPr>
      <w:r>
        <w:rPr>
          <w:rFonts w:hint="eastAsia"/>
        </w:rPr>
        <w:t>主要起草单位有：</w:t>
      </w:r>
      <w:r>
        <w:rPr>
          <w:rFonts w:hint="eastAsia"/>
          <w:sz w:val="21"/>
          <w:szCs w:val="21"/>
        </w:rPr>
        <w:t>中海油天津化工研究设计院有限公司</w:t>
      </w:r>
      <w:r>
        <w:rPr>
          <w:rFonts w:hint="eastAsia"/>
          <w:sz w:val="21"/>
          <w:szCs w:val="21"/>
          <w:lang w:val="en-US" w:eastAsia="zh-CN"/>
        </w:rPr>
        <w:t>等。</w:t>
      </w:r>
    </w:p>
    <w:p>
      <w:pPr>
        <w:pStyle w:val="21"/>
        <w:numPr>
          <w:ilvl w:val="0"/>
          <w:numId w:val="0"/>
        </w:numPr>
        <w:topLinePunct/>
        <w:autoSpaceDE/>
        <w:autoSpaceDN/>
        <w:spacing w:before="156" w:beforeLines="50" w:after="156" w:afterLines="50" w:line="360" w:lineRule="exact"/>
        <w:rPr>
          <w:rFonts w:ascii="黑体" w:eastAsia="黑体"/>
        </w:rPr>
      </w:pPr>
      <w:r>
        <w:rPr>
          <w:rFonts w:hint="eastAsia" w:ascii="黑体" w:hAnsi="黑体" w:eastAsia="黑体"/>
        </w:rPr>
        <w:t>1</w:t>
      </w:r>
      <w:r>
        <w:rPr>
          <w:rFonts w:ascii="黑体" w:hAnsi="黑体" w:eastAsia="黑体"/>
        </w:rPr>
        <w:t xml:space="preserve">.2  </w:t>
      </w:r>
      <w:r>
        <w:rPr>
          <w:rFonts w:hint="eastAsia" w:ascii="黑体" w:eastAsia="黑体"/>
        </w:rPr>
        <w:t>简要编制过程</w:t>
      </w:r>
    </w:p>
    <w:p>
      <w:pPr>
        <w:pStyle w:val="21"/>
        <w:numPr>
          <w:ilvl w:val="0"/>
          <w:numId w:val="0"/>
        </w:numPr>
        <w:topLinePunct/>
        <w:autoSpaceDE/>
        <w:autoSpaceDN/>
        <w:spacing w:before="156" w:beforeLines="50" w:after="156" w:afterLines="50" w:line="360" w:lineRule="exact"/>
        <w:rPr>
          <w:rFonts w:ascii="黑体" w:eastAsia="黑体"/>
        </w:rPr>
      </w:pPr>
      <w:r>
        <w:rPr>
          <w:rFonts w:hint="eastAsia" w:ascii="黑体" w:eastAsia="黑体"/>
        </w:rPr>
        <w:t>1</w:t>
      </w:r>
      <w:r>
        <w:rPr>
          <w:rFonts w:ascii="黑体" w:eastAsia="黑体"/>
        </w:rPr>
        <w:t xml:space="preserve">.2.1  </w:t>
      </w:r>
      <w:r>
        <w:rPr>
          <w:rFonts w:hint="eastAsia" w:ascii="黑体" w:eastAsia="黑体"/>
        </w:rPr>
        <w:t>调研阶段</w:t>
      </w:r>
    </w:p>
    <w:p>
      <w:pPr>
        <w:widowControl/>
        <w:spacing w:line="360" w:lineRule="exact"/>
        <w:ind w:firstLine="420" w:firstLineChars="200"/>
        <w:outlineLvl w:val="0"/>
        <w:rPr>
          <w:szCs w:val="21"/>
        </w:rPr>
      </w:pPr>
      <w:r>
        <w:rPr>
          <w:rFonts w:hint="eastAsia"/>
          <w:color w:val="000000"/>
        </w:rPr>
        <w:t>全国化学标准化技术委员会无机化工分技术委员会</w:t>
      </w:r>
      <w:r>
        <w:rPr>
          <w:rFonts w:hAnsi="宋体"/>
          <w:color w:val="000000"/>
        </w:rPr>
        <w:t>（</w:t>
      </w:r>
      <w:r>
        <w:rPr>
          <w:color w:val="000000"/>
        </w:rPr>
        <w:t>SAC/TC63/SC1</w:t>
      </w:r>
      <w:r>
        <w:rPr>
          <w:rFonts w:hAnsi="宋体"/>
          <w:color w:val="000000"/>
        </w:rPr>
        <w:t>）</w:t>
      </w:r>
      <w:r>
        <w:rPr>
          <w:rFonts w:hint="eastAsia"/>
          <w:color w:val="000000"/>
        </w:rPr>
        <w:t>接到</w:t>
      </w:r>
      <w:r>
        <w:rPr>
          <w:rFonts w:hint="eastAsia"/>
        </w:rPr>
        <w:t>国家工业和信息化部文件“工信厅科函〔202</w:t>
      </w:r>
      <w:r>
        <w:rPr>
          <w:rFonts w:hint="eastAsia"/>
          <w:lang w:val="en-US" w:eastAsia="zh-CN"/>
        </w:rPr>
        <w:t>4</w:t>
      </w:r>
      <w:r>
        <w:rPr>
          <w:rFonts w:hint="eastAsia"/>
        </w:rPr>
        <w:t>〕18号《工业和信息化部办公厅关于印发2024年第一批行业标准制修订计划的通知》”</w:t>
      </w:r>
      <w:r>
        <w:rPr>
          <w:rFonts w:hint="eastAsia"/>
          <w:color w:val="000000"/>
          <w:shd w:val="clear" w:color="auto" w:fill="FFFFFF"/>
        </w:rPr>
        <w:t>后</w:t>
      </w:r>
      <w:r>
        <w:rPr>
          <w:rFonts w:hint="eastAsia"/>
        </w:rPr>
        <w:t>，全国化学标准化技术委员会无机化工分技术委员会</w:t>
      </w:r>
      <w:r>
        <w:rPr>
          <w:rFonts w:hAnsi="宋体"/>
          <w:color w:val="000000"/>
        </w:rPr>
        <w:t>（</w:t>
      </w:r>
      <w:r>
        <w:rPr>
          <w:color w:val="000000"/>
        </w:rPr>
        <w:t>SAC/TC63/SC1</w:t>
      </w:r>
      <w:r>
        <w:rPr>
          <w:rFonts w:hAnsi="宋体"/>
          <w:color w:val="000000"/>
        </w:rPr>
        <w:t>）</w:t>
      </w:r>
      <w:r>
        <w:rPr>
          <w:rFonts w:hint="eastAsia"/>
          <w:color w:val="000000"/>
        </w:rPr>
        <w:t>即展开了《</w:t>
      </w:r>
      <w:r>
        <w:rPr>
          <w:rFonts w:hint="eastAsia"/>
          <w:lang w:eastAsia="zh-CN"/>
        </w:rPr>
        <w:t>工业</w:t>
      </w:r>
      <w:r>
        <w:rPr>
          <w:rFonts w:hint="eastAsia"/>
          <w:lang w:val="en-US" w:eastAsia="zh-CN"/>
        </w:rPr>
        <w:t>氧化铁</w:t>
      </w:r>
      <w:r>
        <w:rPr>
          <w:rFonts w:hint="eastAsia"/>
          <w:color w:val="000000"/>
        </w:rPr>
        <w:t>》化工行业标准修订的前期准备工作</w:t>
      </w:r>
      <w:r>
        <w:rPr>
          <w:rFonts w:hint="eastAsia"/>
          <w:color w:val="000000" w:themeColor="text1"/>
          <w:szCs w:val="21"/>
          <w14:textFill>
            <w14:solidFill>
              <w14:schemeClr w14:val="tx1"/>
            </w14:solidFill>
          </w14:textFill>
        </w:rPr>
        <w:t>，</w:t>
      </w:r>
      <w:r>
        <w:rPr>
          <w:rFonts w:hint="eastAsia"/>
          <w:color w:val="000000"/>
        </w:rPr>
        <w:t>向各有关生产企业发制标调查函，广泛征求行业内企业、用户对标准修订的意见，查阅相关资料，整理归纳分析总结回函意见，</w:t>
      </w:r>
      <w:r>
        <w:rPr>
          <w:szCs w:val="21"/>
        </w:rPr>
        <w:t>组建</w:t>
      </w:r>
      <w:r>
        <w:rPr>
          <w:rFonts w:hint="eastAsia"/>
          <w:szCs w:val="21"/>
        </w:rPr>
        <w:t>成立标准</w:t>
      </w:r>
      <w:r>
        <w:rPr>
          <w:szCs w:val="21"/>
        </w:rPr>
        <w:t>起草小组</w:t>
      </w:r>
      <w:r>
        <w:rPr>
          <w:rFonts w:hint="eastAsia"/>
          <w:szCs w:val="21"/>
        </w:rPr>
        <w:t>，编制完成标准修订</w:t>
      </w:r>
      <w:r>
        <w:rPr>
          <w:szCs w:val="21"/>
        </w:rPr>
        <w:t>文献小结。</w:t>
      </w:r>
    </w:p>
    <w:p>
      <w:pPr>
        <w:pStyle w:val="21"/>
        <w:numPr>
          <w:ilvl w:val="0"/>
          <w:numId w:val="0"/>
        </w:numPr>
        <w:topLinePunct/>
        <w:autoSpaceDE/>
        <w:autoSpaceDN/>
        <w:spacing w:before="156" w:beforeLines="50" w:after="156" w:afterLines="50" w:line="360" w:lineRule="exact"/>
        <w:rPr>
          <w:rFonts w:ascii="黑体" w:eastAsia="黑体"/>
          <w:color w:val="000000" w:themeColor="text1"/>
          <w14:textFill>
            <w14:solidFill>
              <w14:schemeClr w14:val="tx1"/>
            </w14:solidFill>
          </w14:textFill>
        </w:rPr>
      </w:pPr>
      <w:r>
        <w:rPr>
          <w:rFonts w:hint="eastAsia" w:ascii="黑体" w:eastAsia="黑体"/>
        </w:rPr>
        <w:t>1</w:t>
      </w:r>
      <w:r>
        <w:rPr>
          <w:rFonts w:ascii="黑体" w:eastAsia="黑体"/>
        </w:rPr>
        <w:t xml:space="preserve">.2.2  </w:t>
      </w:r>
      <w:r>
        <w:rPr>
          <w:rFonts w:hint="eastAsia" w:ascii="黑体" w:hAnsi="黑体" w:eastAsia="黑体"/>
          <w:color w:val="000000" w:themeColor="text1"/>
          <w14:textFill>
            <w14:solidFill>
              <w14:schemeClr w14:val="tx1"/>
            </w14:solidFill>
          </w14:textFill>
        </w:rPr>
        <w:t>工作方案会阶段</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lang w:val="en-US" w:eastAsia="zh-CN"/>
        </w:rPr>
      </w:pPr>
      <w:r>
        <w:rPr>
          <w:color w:val="000000" w:themeColor="text1"/>
          <w14:textFill>
            <w14:solidFill>
              <w14:schemeClr w14:val="tx1"/>
            </w14:solidFill>
          </w14:textFill>
        </w:rPr>
        <w:t>202</w:t>
      </w:r>
      <w:r>
        <w:rPr>
          <w:rFonts w:hint="eastAsia"/>
          <w:color w:val="000000" w:themeColor="text1"/>
          <w14:textFill>
            <w14:solidFill>
              <w14:schemeClr w14:val="tx1"/>
            </w14:solidFill>
          </w14:textFill>
        </w:rPr>
        <w:t>4</w:t>
      </w:r>
      <w:r>
        <w:rPr>
          <w:color w:val="000000" w:themeColor="text1"/>
          <w14:textFill>
            <w14:solidFill>
              <w14:schemeClr w14:val="tx1"/>
            </w14:solidFill>
          </w14:textFill>
        </w:rPr>
        <w:t>年</w:t>
      </w:r>
      <w:r>
        <w:rPr>
          <w:rFonts w:hint="eastAsia"/>
          <w:color w:val="000000" w:themeColor="text1"/>
          <w:lang w:val="en-US" w:eastAsia="zh-CN"/>
          <w14:textFill>
            <w14:solidFill>
              <w14:schemeClr w14:val="tx1"/>
            </w14:solidFill>
          </w14:textFill>
        </w:rPr>
        <w:t>8</w:t>
      </w:r>
      <w:r>
        <w:rPr>
          <w:color w:val="000000" w:themeColor="text1"/>
          <w14:textFill>
            <w14:solidFill>
              <w14:schemeClr w14:val="tx1"/>
            </w14:solidFill>
          </w14:textFill>
        </w:rPr>
        <w:t>月</w:t>
      </w: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日在</w:t>
      </w:r>
      <w:r>
        <w:rPr>
          <w:rFonts w:hint="eastAsia"/>
          <w:color w:val="000000" w:themeColor="text1"/>
          <w:lang w:val="en-US" w:eastAsia="zh-CN"/>
          <w14:textFill>
            <w14:solidFill>
              <w14:schemeClr w14:val="tx1"/>
            </w14:solidFill>
          </w14:textFill>
        </w:rPr>
        <w:t>黑龙江省哈尔滨市</w:t>
      </w:r>
      <w:r>
        <w:rPr>
          <w:rFonts w:hint="eastAsia"/>
          <w:color w:val="000000" w:themeColor="text1"/>
          <w14:textFill>
            <w14:solidFill>
              <w14:schemeClr w14:val="tx1"/>
            </w14:solidFill>
          </w14:textFill>
        </w:rPr>
        <w:t>召开标准制修订工作方案会，</w:t>
      </w:r>
      <w:r>
        <w:rPr>
          <w:rFonts w:hint="eastAsia"/>
          <w:lang w:val="en-US" w:eastAsia="zh-CN"/>
        </w:rPr>
        <w:t>会议主要讨论结果如下：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420" w:firstLineChars="200"/>
        <w:textAlignment w:val="auto"/>
        <w:rPr>
          <w:rFonts w:hint="eastAsia"/>
          <w:lang w:val="en-US" w:eastAsia="zh-CN"/>
        </w:rPr>
      </w:pPr>
      <w:r>
        <w:rPr>
          <w:rFonts w:hint="eastAsia"/>
          <w:lang w:val="en-US" w:eastAsia="zh-CN"/>
        </w:rPr>
        <w:t>（1）在现有标准基础上增加一类回收产品，该产品主要作为新能源电池、固态电池的三元前驱体用途，主要由不锈钢盐酸酸洗废液或混合酸洗废液（HF、HNO</w:t>
      </w:r>
      <w:r>
        <w:rPr>
          <w:rFonts w:hint="eastAsia"/>
          <w:vertAlign w:val="subscript"/>
          <w:lang w:val="en-US" w:eastAsia="zh-CN"/>
        </w:rPr>
        <w:t>3</w:t>
      </w:r>
      <w:r>
        <w:rPr>
          <w:rFonts w:hint="eastAsia"/>
          <w:lang w:val="en-US" w:eastAsia="zh-CN"/>
        </w:rPr>
        <w:t>）经过喷雾或流化床工艺回收的以氧化铁为主含量的且含有三氧化二铬、氧化镍、氧化锰三种金属氧化物的氧化铁回收料。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420" w:firstLineChars="200"/>
        <w:textAlignment w:val="auto"/>
        <w:rPr>
          <w:rFonts w:hint="eastAsia"/>
          <w:lang w:val="en-US" w:eastAsia="zh-CN"/>
        </w:rPr>
      </w:pPr>
      <w:r>
        <w:rPr>
          <w:rFonts w:hint="eastAsia"/>
          <w:lang w:val="en-US" w:eastAsia="zh-CN"/>
        </w:rPr>
        <w:t>（2）产品指标为：氧化铁≥70%；三氧化二铬10%</w:t>
      </w:r>
      <w:r>
        <w:rPr>
          <w:rFonts w:hint="default" w:ascii="Times New Roman" w:hAnsi="Times New Roman" w:cs="Times New Roman"/>
          <w:lang w:val="en-US" w:eastAsia="zh-CN"/>
        </w:rPr>
        <w:t>~</w:t>
      </w:r>
      <w:r>
        <w:rPr>
          <w:rFonts w:hint="eastAsia"/>
          <w:lang w:val="en-US" w:eastAsia="zh-CN"/>
        </w:rPr>
        <w:t>20%、氧化镍≥1%、氧化锰≥1%；氟含量≤1%。并增加测定方法。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420" w:firstLineChars="200"/>
        <w:textAlignment w:val="auto"/>
        <w:rPr>
          <w:rFonts w:hint="default"/>
          <w:lang w:val="en-US" w:eastAsia="zh-CN"/>
        </w:rPr>
      </w:pPr>
      <w:r>
        <w:rPr>
          <w:rFonts w:hint="eastAsia"/>
          <w:lang w:val="en-US" w:eastAsia="zh-CN"/>
        </w:rPr>
        <w:t>（3）产品外观增加黑灰色粉状描述以及流沙状描述。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420" w:firstLineChars="200"/>
        <w:textAlignment w:val="auto"/>
        <w:rPr>
          <w:rFonts w:hint="eastAsia"/>
          <w:color w:val="000000" w:themeColor="text1"/>
          <w14:textFill>
            <w14:solidFill>
              <w14:schemeClr w14:val="tx1"/>
            </w14:solidFill>
          </w14:textFill>
        </w:rPr>
      </w:pPr>
      <w:r>
        <w:rPr>
          <w:rFonts w:hint="eastAsia"/>
          <w:lang w:val="en-US" w:eastAsia="zh-CN"/>
        </w:rPr>
        <w:t>（4）氯离子测定方法修改为电位滴定法。</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b w:val="0"/>
          <w:bCs w:val="0"/>
          <w:szCs w:val="21"/>
        </w:rPr>
      </w:pPr>
      <w:r>
        <w:rPr>
          <w:rFonts w:hint="eastAsia" w:asciiTheme="minorEastAsia" w:hAnsiTheme="minorEastAsia" w:eastAsiaTheme="minorEastAsia"/>
          <w:b w:val="0"/>
          <w:bCs w:val="0"/>
          <w:color w:val="000000"/>
          <w:lang w:val="en-US" w:eastAsia="zh-CN"/>
        </w:rPr>
        <w:t>会上确定了后续工作安排，</w:t>
      </w:r>
      <w:r>
        <w:rPr>
          <w:rFonts w:hint="eastAsia" w:asciiTheme="minorEastAsia" w:hAnsiTheme="minorEastAsia" w:eastAsiaTheme="minorEastAsia"/>
          <w:b w:val="0"/>
          <w:bCs w:val="0"/>
          <w:color w:val="000000"/>
        </w:rPr>
        <w:t>具体</w:t>
      </w:r>
      <w:r>
        <w:rPr>
          <w:rFonts w:hint="eastAsia" w:asciiTheme="minorEastAsia" w:hAnsiTheme="minorEastAsia" w:eastAsiaTheme="minorEastAsia"/>
          <w:b w:val="0"/>
          <w:bCs w:val="0"/>
        </w:rPr>
        <w:t>工作安排</w:t>
      </w:r>
      <w:r>
        <w:rPr>
          <w:b w:val="0"/>
          <w:bCs w:val="0"/>
          <w:szCs w:val="21"/>
        </w:rPr>
        <w:t>为：</w:t>
      </w:r>
    </w:p>
    <w:p>
      <w:pPr>
        <w:spacing w:line="360" w:lineRule="atLeast"/>
        <w:ind w:firstLine="420" w:firstLineChars="200"/>
        <w:jc w:val="left"/>
        <w:rPr>
          <w:color w:val="000000"/>
          <w:kern w:val="0"/>
        </w:rPr>
      </w:pPr>
      <w:r>
        <w:rPr>
          <w:rFonts w:eastAsiaTheme="minorEastAsia"/>
          <w:szCs w:val="21"/>
        </w:rPr>
        <w:t>20</w:t>
      </w:r>
      <w:r>
        <w:rPr>
          <w:rFonts w:hint="eastAsia" w:eastAsiaTheme="minorEastAsia"/>
          <w:szCs w:val="21"/>
        </w:rPr>
        <w:t>24</w:t>
      </w:r>
      <w:r>
        <w:rPr>
          <w:rFonts w:eastAsiaTheme="minorEastAsia"/>
          <w:szCs w:val="21"/>
        </w:rPr>
        <w:t>年</w:t>
      </w:r>
      <w:r>
        <w:rPr>
          <w:rFonts w:hint="eastAsia" w:eastAsiaTheme="minorEastAsia"/>
          <w:szCs w:val="21"/>
          <w:lang w:val="en-US" w:eastAsia="zh-CN"/>
        </w:rPr>
        <w:t>11</w:t>
      </w:r>
      <w:r>
        <w:rPr>
          <w:rFonts w:eastAsiaTheme="minorEastAsia"/>
          <w:szCs w:val="21"/>
        </w:rPr>
        <w:t>月前，生产企业提供</w:t>
      </w:r>
      <w:r>
        <w:rPr>
          <w:rFonts w:hint="eastAsia" w:eastAsiaTheme="minorEastAsia"/>
          <w:lang w:eastAsia="zh-CN"/>
        </w:rPr>
        <w:t>工业</w:t>
      </w:r>
      <w:r>
        <w:rPr>
          <w:rFonts w:hint="eastAsia" w:eastAsiaTheme="minorEastAsia"/>
          <w:lang w:val="en-US" w:eastAsia="zh-CN"/>
        </w:rPr>
        <w:t>氧化铁</w:t>
      </w:r>
      <w:r>
        <w:rPr>
          <w:rFonts w:hint="eastAsia"/>
        </w:rPr>
        <w:t>企业标准及</w:t>
      </w:r>
      <w:r>
        <w:rPr>
          <w:rFonts w:eastAsiaTheme="minorEastAsia"/>
          <w:szCs w:val="21"/>
        </w:rPr>
        <w:t>连续两年的质量月报数据</w:t>
      </w:r>
      <w:r>
        <w:rPr>
          <w:rFonts w:hint="eastAsia" w:eastAsiaTheme="minorEastAsia"/>
          <w:szCs w:val="21"/>
        </w:rPr>
        <w:t>，</w:t>
      </w:r>
      <w:r>
        <w:rPr>
          <w:rFonts w:eastAsiaTheme="minorEastAsia"/>
          <w:szCs w:val="21"/>
        </w:rPr>
        <w:t>中海油天津化工研究设计院有限公司负责完成标准征求意见稿及编制说明，生产企业按照确定的试验方法进行累积试验，并提供15批实验数据</w:t>
      </w:r>
      <w:r>
        <w:rPr>
          <w:rFonts w:hint="eastAsia" w:eastAsiaTheme="minorEastAsia"/>
          <w:szCs w:val="21"/>
          <w:lang w:val="en-US" w:eastAsia="zh-CN"/>
        </w:rPr>
        <w:t>等</w:t>
      </w:r>
      <w:r>
        <w:rPr>
          <w:rFonts w:eastAsiaTheme="minorEastAsia"/>
          <w:szCs w:val="21"/>
        </w:rPr>
        <w:t>。</w:t>
      </w:r>
    </w:p>
    <w:p>
      <w:pPr>
        <w:pStyle w:val="21"/>
        <w:numPr>
          <w:ilvl w:val="0"/>
          <w:numId w:val="0"/>
        </w:numPr>
        <w:topLinePunct/>
        <w:autoSpaceDE/>
        <w:autoSpaceDN/>
        <w:spacing w:before="156" w:beforeLines="50" w:after="156" w:afterLines="50" w:line="360" w:lineRule="exact"/>
        <w:rPr>
          <w:color w:val="000000"/>
        </w:rPr>
      </w:pPr>
      <w:r>
        <w:rPr>
          <w:rFonts w:hint="eastAsia" w:ascii="黑体" w:eastAsia="黑体"/>
        </w:rPr>
        <w:t>1</w:t>
      </w:r>
      <w:r>
        <w:rPr>
          <w:rFonts w:ascii="黑体" w:eastAsia="黑体"/>
        </w:rPr>
        <w:t xml:space="preserve">.2.3  </w:t>
      </w:r>
      <w:r>
        <w:rPr>
          <w:rFonts w:hint="eastAsia" w:ascii="黑体" w:hAnsi="黑体" w:eastAsia="黑体"/>
        </w:rPr>
        <w:t>上网征求意见阶段</w:t>
      </w:r>
    </w:p>
    <w:p>
      <w:pPr>
        <w:spacing w:line="360" w:lineRule="atLeast"/>
        <w:ind w:firstLine="420" w:firstLineChars="200"/>
        <w:jc w:val="left"/>
        <w:rPr>
          <w:szCs w:val="21"/>
        </w:rPr>
      </w:pPr>
      <w:r>
        <w:rPr>
          <w:color w:val="000000"/>
          <w:szCs w:val="21"/>
        </w:rPr>
        <w:t>202</w:t>
      </w:r>
      <w:r>
        <w:rPr>
          <w:rFonts w:hint="eastAsia"/>
          <w:color w:val="000000"/>
          <w:szCs w:val="21"/>
          <w:lang w:val="en-US" w:eastAsia="zh-CN"/>
        </w:rPr>
        <w:t>5</w:t>
      </w:r>
      <w:r>
        <w:rPr>
          <w:color w:val="000000"/>
          <w:szCs w:val="21"/>
        </w:rPr>
        <w:t>年</w:t>
      </w:r>
      <w:r>
        <w:rPr>
          <w:rFonts w:hint="eastAsia"/>
          <w:color w:val="000000"/>
          <w:szCs w:val="21"/>
          <w:lang w:val="en-US" w:eastAsia="zh-CN"/>
        </w:rPr>
        <w:t>3</w:t>
      </w:r>
      <w:r>
        <w:rPr>
          <w:color w:val="000000"/>
          <w:szCs w:val="21"/>
        </w:rPr>
        <w:t>月</w:t>
      </w:r>
      <w:r>
        <w:rPr>
          <w:rFonts w:hint="eastAsia"/>
          <w:color w:val="000000"/>
          <w:szCs w:val="21"/>
        </w:rPr>
        <w:t>底</w:t>
      </w:r>
      <w:r>
        <w:rPr>
          <w:szCs w:val="21"/>
        </w:rPr>
        <w:t>由</w:t>
      </w:r>
      <w:r>
        <w:rPr>
          <w:color w:val="000000"/>
          <w:szCs w:val="21"/>
        </w:rPr>
        <w:t>中海油天津化工研究设计院</w:t>
      </w:r>
      <w:r>
        <w:rPr>
          <w:rFonts w:hint="eastAsia" w:hAnsi="宋体"/>
          <w:color w:val="000000" w:themeColor="text1"/>
          <w:szCs w:val="21"/>
          <w14:textFill>
            <w14:solidFill>
              <w14:schemeClr w14:val="tx1"/>
            </w14:solidFill>
          </w14:textFill>
        </w:rPr>
        <w:t>有限公司</w:t>
      </w:r>
      <w:r>
        <w:rPr>
          <w:color w:val="000000"/>
          <w:szCs w:val="21"/>
        </w:rPr>
        <w:t>负</w:t>
      </w:r>
      <w:r>
        <w:rPr>
          <w:szCs w:val="21"/>
        </w:rPr>
        <w:t>责将标准征求意见稿（草案）和编制说明（草案），</w:t>
      </w:r>
      <w:r>
        <w:rPr>
          <w:rFonts w:hint="eastAsia"/>
          <w:szCs w:val="21"/>
          <w:lang w:val="en-US" w:eastAsia="zh-CN"/>
        </w:rPr>
        <w:t>发送</w:t>
      </w:r>
      <w:r>
        <w:rPr>
          <w:szCs w:val="21"/>
        </w:rPr>
        <w:t>给全国化学标准化技术委员会无机化工分技术委员会各位委员、生产厂及用户，并在</w:t>
      </w:r>
      <w:r>
        <w:rPr>
          <w:color w:val="000000" w:themeColor="text1"/>
          <w:szCs w:val="21"/>
          <w14:textFill>
            <w14:solidFill>
              <w14:schemeClr w14:val="tx1"/>
            </w14:solidFill>
          </w14:textFill>
        </w:rPr>
        <w:t>www.trici.com.cn</w:t>
      </w:r>
      <w:r>
        <w:rPr>
          <w:szCs w:val="21"/>
        </w:rPr>
        <w:t>网上公开，广泛征求行业内意见</w:t>
      </w:r>
      <w:r>
        <w:rPr>
          <w:rFonts w:hint="eastAsia"/>
          <w:szCs w:val="21"/>
        </w:rPr>
        <w:t>，整理</w:t>
      </w:r>
      <w:r>
        <w:rPr>
          <w:szCs w:val="21"/>
        </w:rPr>
        <w:t>汇总回函意见</w:t>
      </w:r>
      <w:r>
        <w:rPr>
          <w:rFonts w:hint="eastAsia"/>
          <w:color w:val="000000" w:themeColor="text1"/>
          <w:szCs w:val="21"/>
          <w14:textFill>
            <w14:solidFill>
              <w14:schemeClr w14:val="tx1"/>
            </w14:solidFill>
          </w14:textFill>
        </w:rPr>
        <w:t>。</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eastAsia="黑体"/>
        </w:rPr>
        <w:t>1</w:t>
      </w:r>
      <w:r>
        <w:rPr>
          <w:rFonts w:ascii="黑体" w:eastAsia="黑体"/>
        </w:rPr>
        <w:t xml:space="preserve">.2.4  </w:t>
      </w:r>
      <w:r>
        <w:rPr>
          <w:rFonts w:hint="eastAsia" w:ascii="黑体" w:eastAsia="黑体"/>
        </w:rPr>
        <w:t>预审会</w:t>
      </w:r>
      <w:r>
        <w:rPr>
          <w:rFonts w:hint="eastAsia" w:ascii="黑体" w:hAnsi="黑体" w:eastAsia="黑体"/>
        </w:rPr>
        <w:t>阶段</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eastAsia="黑体"/>
        </w:rPr>
        <w:t>1</w:t>
      </w:r>
      <w:r>
        <w:rPr>
          <w:rFonts w:ascii="黑体" w:eastAsia="黑体"/>
        </w:rPr>
        <w:t xml:space="preserve">.2.5  </w:t>
      </w:r>
      <w:r>
        <w:rPr>
          <w:rFonts w:hint="eastAsia" w:ascii="黑体" w:eastAsia="黑体"/>
        </w:rPr>
        <w:t>审查报批</w:t>
      </w:r>
      <w:r>
        <w:rPr>
          <w:rFonts w:hint="eastAsia" w:ascii="黑体" w:hAnsi="黑体" w:eastAsia="黑体"/>
        </w:rPr>
        <w:t>阶段</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1.3  主要起草人及其所做的工作</w:t>
      </w:r>
    </w:p>
    <w:p>
      <w:pPr>
        <w:spacing w:line="360" w:lineRule="atLeast"/>
        <w:ind w:firstLine="420"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本文件主要起草</w:t>
      </w:r>
      <w:r>
        <w:rPr>
          <w:rFonts w:hint="eastAsia"/>
          <w:color w:val="000000" w:themeColor="text1"/>
          <w:szCs w:val="21"/>
          <w:lang w:val="en-US" w:eastAsia="zh-CN"/>
          <w14:textFill>
            <w14:solidFill>
              <w14:schemeClr w14:val="tx1"/>
            </w14:solidFill>
          </w14:textFill>
        </w:rPr>
        <w:t>单位</w:t>
      </w:r>
      <w:r>
        <w:rPr>
          <w:rFonts w:hint="eastAsia"/>
          <w:color w:val="000000" w:themeColor="text1"/>
          <w:szCs w:val="21"/>
          <w14:textFill>
            <w14:solidFill>
              <w14:schemeClr w14:val="tx1"/>
            </w14:solidFill>
          </w14:textFill>
        </w:rPr>
        <w:t>等主要负责收集资料、市场调研、试验方法验证、分析整理检测数据、起草标准草案各阶段稿及其编制说明等工作。</w:t>
      </w:r>
    </w:p>
    <w:p>
      <w:pPr>
        <w:pStyle w:val="21"/>
        <w:topLinePunct/>
        <w:autoSpaceDE/>
        <w:autoSpaceDN/>
        <w:spacing w:before="156" w:beforeLines="50" w:after="156" w:afterLines="50" w:line="360" w:lineRule="exact"/>
        <w:jc w:val="left"/>
        <w:outlineLvl w:val="0"/>
      </w:pPr>
      <w:r>
        <w:rPr>
          <w:rFonts w:hint="eastAsia" w:eastAsia="黑体"/>
        </w:rPr>
        <w:t>目的意义</w:t>
      </w:r>
    </w:p>
    <w:p>
      <w:pPr>
        <w:spacing w:line="360" w:lineRule="exact"/>
        <w:ind w:firstLine="420" w:firstLineChars="200"/>
      </w:pPr>
      <w:r>
        <w:rPr>
          <w:rFonts w:hint="eastAsia"/>
        </w:rPr>
        <w:t>氧化铁是一种用途十分广泛的化工产品。在涂料工业中是优秀的染料；陶瓷工业中用作釉料；该产品还用于软磁铁氧体、硬磁铁氧体、抛光膏、催化剂、脱硫剂以及土壤改良剂、化妆品、食品添加剂、生物医药原辅料等等。</w:t>
      </w:r>
    </w:p>
    <w:p>
      <w:pPr>
        <w:spacing w:line="360" w:lineRule="exact"/>
        <w:ind w:firstLine="420" w:firstLineChars="200"/>
      </w:pPr>
      <w:r>
        <w:t>现有</w:t>
      </w:r>
      <w:r>
        <w:rPr>
          <w:rFonts w:hint="eastAsia"/>
        </w:rPr>
        <w:t>《工业氧化铁》HG/T 2574-2009标准已经实施有1</w:t>
      </w:r>
      <w:r>
        <w:rPr>
          <w:rFonts w:hint="eastAsia"/>
          <w:lang w:val="en-US" w:eastAsia="zh-CN"/>
        </w:rPr>
        <w:t>5</w:t>
      </w:r>
      <w:r>
        <w:rPr>
          <w:rFonts w:hint="eastAsia"/>
        </w:rPr>
        <w:t>年之久，</w:t>
      </w:r>
      <w:r>
        <w:t>随着国内外</w:t>
      </w:r>
      <w:r>
        <w:rPr>
          <w:rFonts w:hint="eastAsia"/>
        </w:rPr>
        <w:t>生产</w:t>
      </w:r>
      <w:r>
        <w:t>及用户需求</w:t>
      </w:r>
      <w:r>
        <w:rPr>
          <w:rFonts w:hint="eastAsia"/>
        </w:rPr>
        <w:t>的不断</w:t>
      </w:r>
      <w:r>
        <w:t>变化，</w:t>
      </w:r>
      <w:r>
        <w:rPr>
          <w:rFonts w:hint="eastAsia"/>
        </w:rPr>
        <w:t>现行标准规定的内容与实际生产应用等情况产生了很多不适用的问题。我国工业氧化铁年生产能力超过50万吨，全国具有一定规模的生产企业20家以上。修订</w:t>
      </w:r>
      <w:r>
        <w:t>完善现行</w:t>
      </w:r>
      <w:r>
        <w:rPr>
          <w:rFonts w:hint="eastAsia"/>
        </w:rPr>
        <w:t>行业</w:t>
      </w:r>
      <w:r>
        <w:t>标准，增</w:t>
      </w:r>
      <w:r>
        <w:rPr>
          <w:rFonts w:hint="eastAsia"/>
        </w:rPr>
        <w:t>强标准的</w:t>
      </w:r>
      <w:r>
        <w:t>适用</w:t>
      </w:r>
      <w:r>
        <w:rPr>
          <w:rFonts w:hint="eastAsia"/>
        </w:rPr>
        <w:t>性</w:t>
      </w:r>
      <w:r>
        <w:t>，减少贸易纠纷</w:t>
      </w:r>
      <w:r>
        <w:rPr>
          <w:rFonts w:hint="eastAsia"/>
        </w:rPr>
        <w:t>，同时</w:t>
      </w:r>
      <w:r>
        <w:t>规范生产和市场销售</w:t>
      </w:r>
      <w:r>
        <w:rPr>
          <w:rFonts w:hint="eastAsia"/>
        </w:rPr>
        <w:t>，</w:t>
      </w:r>
      <w:r>
        <w:t>满足</w:t>
      </w:r>
      <w:r>
        <w:rPr>
          <w:rFonts w:hint="eastAsia"/>
        </w:rPr>
        <w:t>国内和</w:t>
      </w:r>
      <w:r>
        <w:t>国际市场需求</w:t>
      </w:r>
      <w:r>
        <w:rPr>
          <w:rFonts w:hint="eastAsia"/>
        </w:rPr>
        <w:t>，</w:t>
      </w:r>
      <w:r>
        <w:t>对提高</w:t>
      </w:r>
      <w:r>
        <w:rPr>
          <w:rFonts w:hint="eastAsia"/>
        </w:rPr>
        <w:t>工业氧化铁的市场</w:t>
      </w:r>
      <w:r>
        <w:t>竞争力，促进行业健康科学发展具有积极</w:t>
      </w:r>
      <w:r>
        <w:rPr>
          <w:rFonts w:hint="eastAsia"/>
        </w:rPr>
        <w:t>的</w:t>
      </w:r>
      <w:r>
        <w:t>推动作用。为</w:t>
      </w:r>
      <w:r>
        <w:rPr>
          <w:rFonts w:hint="eastAsia"/>
        </w:rPr>
        <w:t>了适应产品</w:t>
      </w:r>
      <w:r>
        <w:t>应用及生产</w:t>
      </w:r>
      <w:r>
        <w:rPr>
          <w:rFonts w:hint="eastAsia"/>
        </w:rPr>
        <w:t>现状</w:t>
      </w:r>
      <w:r>
        <w:t>，规范我国</w:t>
      </w:r>
      <w:r>
        <w:rPr>
          <w:rFonts w:hint="eastAsia"/>
        </w:rPr>
        <w:t>工业氧化铁</w:t>
      </w:r>
      <w:r>
        <w:t>生产和市场，</w:t>
      </w:r>
      <w:r>
        <w:rPr>
          <w:rFonts w:hint="eastAsia"/>
        </w:rPr>
        <w:t>急需对工业氧化铁标准进行修订。</w:t>
      </w:r>
    </w:p>
    <w:p>
      <w:pPr>
        <w:spacing w:line="360" w:lineRule="exact"/>
        <w:ind w:firstLine="420" w:firstLineChars="200"/>
      </w:pPr>
      <w:r>
        <w:rPr>
          <w:rFonts w:hint="eastAsia"/>
        </w:rPr>
        <w:t>本次修订标准主要解决的问题为：1）用途与分类中增加</w:t>
      </w:r>
      <w:r>
        <w:rPr>
          <w:rFonts w:hint="eastAsia"/>
          <w:lang w:val="en-US" w:eastAsia="zh-CN"/>
        </w:rPr>
        <w:t>新能源电池</w:t>
      </w:r>
      <w:r>
        <w:rPr>
          <w:rFonts w:hint="eastAsia"/>
        </w:rPr>
        <w:t>用途、制备其他铁盐用途、以及增加作为炼铁</w:t>
      </w:r>
      <w:r>
        <w:rPr>
          <w:rFonts w:hint="eastAsia"/>
          <w:lang w:val="en-US" w:eastAsia="zh-CN"/>
        </w:rPr>
        <w:t>炼钢</w:t>
      </w:r>
      <w:r>
        <w:rPr>
          <w:rFonts w:hint="eastAsia"/>
        </w:rPr>
        <w:t>原料等的用途；2）本次修订将调整其分类</w:t>
      </w:r>
      <w:r>
        <w:rPr>
          <w:rFonts w:hint="eastAsia"/>
          <w:lang w:eastAsia="zh-CN"/>
        </w:rPr>
        <w:t>，</w:t>
      </w:r>
      <w:r>
        <w:rPr>
          <w:rFonts w:hint="eastAsia"/>
          <w:lang w:val="en-US" w:eastAsia="zh-CN"/>
        </w:rPr>
        <w:t>增加新能源用途回收料</w:t>
      </w:r>
      <w:r>
        <w:rPr>
          <w:rFonts w:hint="eastAsia"/>
        </w:rPr>
        <w:t>；3）增加不同类别产品的杂质含量指标要求；4）依据增加的产品类别与指标设置，增加试验方法。</w:t>
      </w:r>
    </w:p>
    <w:p>
      <w:pPr>
        <w:spacing w:line="360" w:lineRule="atLeast"/>
        <w:ind w:firstLine="420" w:firstLineChars="200"/>
        <w:jc w:val="left"/>
        <w:rPr>
          <w:rFonts w:hint="default"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本次修订化工行业标准《工业</w:t>
      </w:r>
      <w:r>
        <w:rPr>
          <w:rFonts w:hint="eastAsia" w:cs="Times New Roman"/>
          <w:color w:val="000000" w:themeColor="text1"/>
          <w:szCs w:val="21"/>
          <w:lang w:val="en-US" w:eastAsia="zh-CN"/>
          <w14:textFill>
            <w14:solidFill>
              <w14:schemeClr w14:val="tx1"/>
            </w14:solidFill>
          </w14:textFill>
        </w:rPr>
        <w:t>氧化铁</w:t>
      </w:r>
      <w:r>
        <w:rPr>
          <w:rFonts w:hint="eastAsia" w:ascii="Times New Roman" w:hAnsi="Times New Roman" w:cs="Times New Roman"/>
          <w:color w:val="000000" w:themeColor="text1"/>
          <w:szCs w:val="21"/>
          <w14:textFill>
            <w14:solidFill>
              <w14:schemeClr w14:val="tx1"/>
            </w14:solidFill>
          </w14:textFill>
        </w:rPr>
        <w:t>》HG</w:t>
      </w:r>
      <w:r>
        <w:rPr>
          <w:rFonts w:hint="default"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T </w:t>
      </w:r>
      <w:r>
        <w:rPr>
          <w:rFonts w:hint="eastAsia" w:cs="Times New Roman"/>
          <w:color w:val="000000" w:themeColor="text1"/>
          <w:szCs w:val="21"/>
          <w:lang w:val="en-US" w:eastAsia="zh-CN"/>
          <w14:textFill>
            <w14:solidFill>
              <w14:schemeClr w14:val="tx1"/>
            </w14:solidFill>
          </w14:textFill>
        </w:rPr>
        <w:t>2574</w:t>
      </w:r>
      <w:r>
        <w:rPr>
          <w:rFonts w:hint="eastAsia" w:ascii="Times New Roman" w:hAnsi="Times New Roman" w:cs="Times New Roman"/>
          <w:color w:val="000000" w:themeColor="text1"/>
          <w:szCs w:val="21"/>
          <w14:textFill>
            <w14:solidFill>
              <w14:schemeClr w14:val="tx1"/>
            </w14:solidFill>
          </w14:textFill>
        </w:rPr>
        <w:t>-20</w:t>
      </w:r>
      <w:r>
        <w:rPr>
          <w:rFonts w:hint="eastAsia" w:cs="Times New Roman"/>
          <w:color w:val="000000" w:themeColor="text1"/>
          <w:szCs w:val="21"/>
          <w:lang w:val="en-US" w:eastAsia="zh-CN"/>
          <w14:textFill>
            <w14:solidFill>
              <w14:schemeClr w14:val="tx1"/>
            </w14:solidFill>
          </w14:textFill>
        </w:rPr>
        <w:t>09</w:t>
      </w:r>
      <w:r>
        <w:rPr>
          <w:rFonts w:hint="eastAsia" w:ascii="Times New Roman" w:hAnsi="Times New Roman" w:cs="Times New Roman"/>
          <w:color w:val="000000" w:themeColor="text1"/>
          <w:szCs w:val="21"/>
          <w14:textFill>
            <w14:solidFill>
              <w14:schemeClr w14:val="tx1"/>
            </w14:solidFill>
          </w14:textFill>
        </w:rPr>
        <w:t>，按照产品的生产和使用的实际情况，对产品中关键性项目、指标及试验方法进行修订和补充，使标准项目更全面、指标更合理、测试方法更加科学、更贴近行业实际，反映产品真实情况，满足下游用户的使用要求，真正起到引领和促进行业进步的作用，达到统一和规范市场的目的，对国内</w:t>
      </w:r>
      <w:r>
        <w:rPr>
          <w:rFonts w:hint="eastAsia" w:cs="Times New Roman"/>
          <w:color w:val="000000" w:themeColor="text1"/>
          <w:szCs w:val="21"/>
          <w:lang w:val="en-US" w:eastAsia="zh-CN"/>
          <w14:textFill>
            <w14:solidFill>
              <w14:schemeClr w14:val="tx1"/>
            </w14:solidFill>
          </w14:textFill>
        </w:rPr>
        <w:t>氧化铁</w:t>
      </w:r>
      <w:r>
        <w:rPr>
          <w:rFonts w:hint="eastAsia" w:ascii="Times New Roman" w:hAnsi="Times New Roman" w:cs="Times New Roman"/>
          <w:color w:val="000000" w:themeColor="text1"/>
          <w:szCs w:val="21"/>
          <w14:textFill>
            <w14:solidFill>
              <w14:schemeClr w14:val="tx1"/>
            </w14:solidFill>
          </w14:textFill>
        </w:rPr>
        <w:t>生产企业的生产管理和销售市场有着十分重要的指导意义。</w:t>
      </w:r>
    </w:p>
    <w:p>
      <w:pPr>
        <w:pStyle w:val="21"/>
        <w:topLinePunct/>
        <w:autoSpaceDE/>
        <w:autoSpaceDN/>
        <w:spacing w:before="156" w:beforeLines="50" w:after="156" w:afterLines="50" w:line="360" w:lineRule="exact"/>
        <w:rPr>
          <w:rFonts w:eastAsia="黑体"/>
        </w:rPr>
      </w:pPr>
      <w:r>
        <w:rPr>
          <w:rFonts w:hint="eastAsia" w:eastAsia="黑体"/>
        </w:rPr>
        <w:t>产品概况</w:t>
      </w:r>
    </w:p>
    <w:p>
      <w:pPr>
        <w:pStyle w:val="8"/>
        <w:topLinePunct/>
        <w:spacing w:line="360" w:lineRule="auto"/>
        <w:rPr>
          <w:rFonts w:ascii="Times New Roman" w:hAnsi="Times New Roman"/>
          <w:sz w:val="21"/>
          <w:szCs w:val="21"/>
        </w:rPr>
      </w:pPr>
      <w:r>
        <w:rPr>
          <w:rFonts w:ascii="黑体" w:eastAsia="黑体"/>
          <w:sz w:val="21"/>
          <w:szCs w:val="21"/>
        </w:rPr>
        <w:t>3.1</w:t>
      </w:r>
      <w:r>
        <w:rPr>
          <w:sz w:val="21"/>
          <w:szCs w:val="21"/>
        </w:rPr>
        <w:t xml:space="preserve">  </w:t>
      </w:r>
      <w:r>
        <w:rPr>
          <w:rFonts w:hint="eastAsia" w:ascii="Times New Roman" w:hAnsi="Times New Roman" w:cs="Times New Roman"/>
          <w:kern w:val="2"/>
          <w:sz w:val="21"/>
          <w:szCs w:val="21"/>
        </w:rPr>
        <w:t>产品名称：</w:t>
      </w:r>
      <w:r>
        <w:rPr>
          <w:rFonts w:hint="eastAsia" w:ascii="Times New Roman" w:hAnsi="Times New Roman" w:cs="Times New Roman"/>
          <w:sz w:val="21"/>
          <w:szCs w:val="21"/>
          <w:lang w:eastAsia="zh-CN"/>
        </w:rPr>
        <w:t>工业</w:t>
      </w:r>
      <w:r>
        <w:rPr>
          <w:rFonts w:hint="eastAsia" w:ascii="Times New Roman" w:hAnsi="Times New Roman" w:cs="Times New Roman"/>
          <w:sz w:val="21"/>
          <w:szCs w:val="21"/>
          <w:lang w:val="en-US" w:eastAsia="zh-CN"/>
        </w:rPr>
        <w:t>氧化铁</w:t>
      </w:r>
      <w:r>
        <w:rPr>
          <w:rFonts w:hint="eastAsia" w:ascii="Times New Roman" w:hAnsi="Times New Roman" w:cs="Times New Roman"/>
          <w:kern w:val="2"/>
          <w:sz w:val="21"/>
          <w:szCs w:val="21"/>
        </w:rPr>
        <w:t xml:space="preserve">      英文名</w:t>
      </w:r>
      <w:r>
        <w:rPr>
          <w:rFonts w:hint="eastAsia" w:ascii="Times New Roman" w:hAnsi="Times New Roman" w:cs="Times New Roman"/>
          <w:sz w:val="21"/>
          <w:szCs w:val="21"/>
          <w:lang w:eastAsia="zh-CN"/>
        </w:rPr>
        <w:t>：</w:t>
      </w:r>
      <w:r>
        <w:rPr>
          <w:rFonts w:hint="default" w:ascii="Times New Roman" w:hAnsi="Times New Roman" w:eastAsia="黑体" w:cs="Times New Roman"/>
          <w:b w:val="0"/>
          <w:bCs w:val="0"/>
          <w:sz w:val="21"/>
          <w:szCs w:val="21"/>
          <w:shd w:val="clear" w:color="auto" w:fill="auto"/>
        </w:rPr>
        <w:fldChar w:fldCharType="begin">
          <w:ffData>
            <w:name w:val="ESTD_NAME"/>
            <w:enabled/>
            <w:calcOnExit w:val="0"/>
            <w:textInput>
              <w:default w:val="点击此处添加标准名称的英文译名"/>
            </w:textInput>
          </w:ffData>
        </w:fldChar>
      </w:r>
      <w:bookmarkStart w:id="0" w:name="ESTD_NAME"/>
      <w:r>
        <w:rPr>
          <w:rFonts w:hint="default" w:ascii="Times New Roman" w:hAnsi="Times New Roman" w:eastAsia="黑体" w:cs="Times New Roman"/>
          <w:b w:val="0"/>
          <w:bCs w:val="0"/>
          <w:sz w:val="21"/>
          <w:szCs w:val="21"/>
          <w:shd w:val="clear" w:color="auto" w:fill="auto"/>
        </w:rPr>
        <w:instrText xml:space="preserve"> FORMTEXT </w:instrText>
      </w:r>
      <w:r>
        <w:rPr>
          <w:rFonts w:hint="default" w:ascii="Times New Roman" w:hAnsi="Times New Roman" w:eastAsia="黑体" w:cs="Times New Roman"/>
          <w:b w:val="0"/>
          <w:bCs w:val="0"/>
          <w:sz w:val="21"/>
          <w:szCs w:val="21"/>
          <w:shd w:val="clear" w:color="auto" w:fill="auto"/>
        </w:rPr>
        <w:fldChar w:fldCharType="separate"/>
      </w:r>
      <w:r>
        <w:rPr>
          <w:rFonts w:hint="default" w:ascii="Times New Roman" w:hAnsi="Times New Roman" w:eastAsia="黑体" w:cs="Times New Roman"/>
          <w:b w:val="0"/>
          <w:bCs w:val="0"/>
          <w:sz w:val="21"/>
          <w:szCs w:val="21"/>
          <w:shd w:val="clear" w:color="auto" w:fill="auto"/>
        </w:rPr>
        <w:t xml:space="preserve"> </w:t>
      </w:r>
      <w:r>
        <w:rPr>
          <w:rFonts w:hint="default" w:ascii="Times New Roman" w:hAnsi="Times New Roman" w:cs="Times New Roman"/>
          <w:sz w:val="21"/>
          <w:szCs w:val="21"/>
          <w:shd w:val="clear" w:color="auto" w:fill="auto"/>
        </w:rPr>
        <w:t xml:space="preserve">Ferric oxide for </w:t>
      </w:r>
      <w:r>
        <w:rPr>
          <w:rFonts w:hint="default" w:ascii="Times New Roman" w:hAnsi="Times New Roman" w:cs="Times New Roman"/>
          <w:sz w:val="21"/>
          <w:szCs w:val="21"/>
          <w:lang w:eastAsia="zh-CN"/>
        </w:rPr>
        <w:t xml:space="preserve">industrial </w:t>
      </w:r>
      <w:r>
        <w:rPr>
          <w:rFonts w:hint="default" w:ascii="Times New Roman" w:hAnsi="Times New Roman" w:cs="Times New Roman"/>
          <w:sz w:val="21"/>
          <w:szCs w:val="21"/>
          <w:shd w:val="clear" w:color="auto" w:fill="auto"/>
        </w:rPr>
        <w:t>use</w:t>
      </w:r>
      <w:r>
        <w:rPr>
          <w:rFonts w:hint="default" w:ascii="Times New Roman" w:hAnsi="Times New Roman" w:eastAsia="黑体" w:cs="Times New Roman"/>
          <w:b w:val="0"/>
          <w:bCs w:val="0"/>
          <w:sz w:val="21"/>
          <w:szCs w:val="21"/>
          <w:shd w:val="clear" w:color="auto" w:fill="auto"/>
        </w:rPr>
        <w:fldChar w:fldCharType="end"/>
      </w:r>
      <w:bookmarkEnd w:id="0"/>
    </w:p>
    <w:p>
      <w:pPr>
        <w:topLinePunct/>
        <w:autoSpaceDE/>
        <w:autoSpaceDN/>
        <w:spacing w:line="360" w:lineRule="auto"/>
        <w:jc w:val="left"/>
        <w:rPr>
          <w:szCs w:val="28"/>
        </w:rPr>
      </w:pPr>
      <w:r>
        <w:rPr>
          <w:rFonts w:hint="eastAsia" w:ascii="黑体" w:eastAsia="黑体"/>
        </w:rPr>
        <w:t xml:space="preserve">3.2  </w:t>
      </w:r>
      <w:r>
        <w:rPr>
          <w:rFonts w:hint="eastAsia"/>
          <w:color w:val="000000"/>
        </w:rPr>
        <w:t>分子式：</w:t>
      </w:r>
      <w:r>
        <w:rPr>
          <w:rFonts w:hint="eastAsia" w:ascii="Times New Roman" w:hAnsi="Times New Roman" w:cs="Times New Roman"/>
          <w:i w:val="0"/>
          <w:iCs/>
          <w:kern w:val="0"/>
          <w:szCs w:val="21"/>
          <w:lang w:val="en-US" w:eastAsia="zh-CN"/>
        </w:rPr>
        <w:t>Fe</w:t>
      </w:r>
      <w:r>
        <w:rPr>
          <w:rFonts w:hint="eastAsia" w:ascii="Times New Roman" w:hAnsi="Times New Roman" w:cs="Times New Roman"/>
          <w:i w:val="0"/>
          <w:iCs/>
          <w:kern w:val="0"/>
          <w:szCs w:val="21"/>
          <w:vertAlign w:val="subscript"/>
          <w:lang w:val="en-US" w:eastAsia="zh-CN"/>
        </w:rPr>
        <w:t>2</w:t>
      </w:r>
      <w:r>
        <w:rPr>
          <w:rFonts w:hint="default" w:ascii="Times New Roman" w:hAnsi="Times New Roman" w:cs="Times New Roman"/>
          <w:i w:val="0"/>
          <w:iCs/>
        </w:rPr>
        <w:t>O</w:t>
      </w:r>
      <w:r>
        <w:rPr>
          <w:rFonts w:hint="eastAsia" w:ascii="Times New Roman" w:hAnsi="Times New Roman" w:cs="Times New Roman"/>
          <w:vertAlign w:val="subscript"/>
          <w:lang w:val="en-US" w:eastAsia="zh-CN"/>
        </w:rPr>
        <w:t>3</w:t>
      </w:r>
      <w:r>
        <w:rPr>
          <w:rFonts w:hint="eastAsia"/>
          <w:color w:val="FF0000"/>
          <w:vertAlign w:val="subscript"/>
        </w:rPr>
        <w:t xml:space="preserve"> </w:t>
      </w:r>
      <w:r>
        <w:rPr>
          <w:rFonts w:hint="eastAsia"/>
          <w:color w:val="FF0000"/>
        </w:rPr>
        <w:t xml:space="preserve">           </w:t>
      </w:r>
      <w:r>
        <w:rPr>
          <w:color w:val="000000"/>
        </w:rPr>
        <w:t>相对分子质量</w:t>
      </w:r>
      <w:r>
        <w:rPr>
          <w:rFonts w:hint="eastAsia"/>
          <w:color w:val="000000"/>
        </w:rPr>
        <w:t>：</w:t>
      </w:r>
      <w:r>
        <w:rPr>
          <w:rFonts w:hint="eastAsia" w:ascii="Times New Roman" w:hAnsi="Times New Roman" w:cs="Times New Roman"/>
          <w:lang w:val="en-US" w:eastAsia="zh-CN"/>
        </w:rPr>
        <w:t>159.69</w:t>
      </w:r>
      <w:r>
        <w:rPr>
          <w:rFonts w:hint="eastAsia"/>
          <w:szCs w:val="28"/>
        </w:rPr>
        <w:t>（按2022年国际相对原子质量）</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3.3  产品性质</w:t>
      </w:r>
    </w:p>
    <w:p>
      <w:pPr>
        <w:spacing w:line="360" w:lineRule="atLeast"/>
        <w:ind w:firstLine="420" w:firstLineChars="200"/>
        <w:jc w:val="left"/>
        <w:rPr>
          <w:rFonts w:hint="eastAsia"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氧化铁（别名铁红，铁锈，氧化铁红、三氧化二铁），</w:t>
      </w:r>
      <w:r>
        <w:rPr>
          <w:rFonts w:hint="eastAsia" w:cs="Times New Roman"/>
          <w:color w:val="000000" w:themeColor="text1"/>
          <w:szCs w:val="21"/>
          <w:lang w:val="en-US" w:eastAsia="zh-CN"/>
          <w14:textFill>
            <w14:solidFill>
              <w14:schemeClr w14:val="tx1"/>
            </w14:solidFill>
          </w14:textFill>
        </w:rPr>
        <w:t>一般为</w:t>
      </w:r>
      <w:r>
        <w:rPr>
          <w:rFonts w:hint="default" w:ascii="Times New Roman" w:hAnsi="Times New Roman" w:cs="Times New Roman"/>
          <w:color w:val="000000" w:themeColor="text1"/>
          <w:szCs w:val="21"/>
          <w14:textFill>
            <w14:solidFill>
              <w14:schemeClr w14:val="tx1"/>
            </w14:solidFill>
          </w14:textFill>
        </w:rPr>
        <w:t>红棕色粉末，无臭，是铁氧化物的一种形式。氧化铁不溶于水，溶于</w:t>
      </w:r>
      <w:r>
        <w:rPr>
          <w:rFonts w:hint="default" w:ascii="Times New Roman" w:hAnsi="Times New Roman" w:cs="Times New Roman"/>
          <w:color w:val="000000" w:themeColor="text1"/>
          <w:szCs w:val="21"/>
          <w:u w:val="none"/>
          <w14:textFill>
            <w14:solidFill>
              <w14:schemeClr w14:val="tx1"/>
            </w14:solidFill>
          </w14:textFill>
        </w:rPr>
        <w:t>盐酸</w:t>
      </w:r>
      <w:r>
        <w:rPr>
          <w:rFonts w:hint="default" w:ascii="Times New Roman" w:hAnsi="Times New Roman" w:cs="Times New Roman"/>
          <w:color w:val="000000" w:themeColor="text1"/>
          <w:szCs w:val="21"/>
          <w14:textFill>
            <w14:solidFill>
              <w14:schemeClr w14:val="tx1"/>
            </w14:solidFill>
          </w14:textFill>
        </w:rPr>
        <w:t>、硫酸，微溶于硝酸</w:t>
      </w:r>
      <w:r>
        <w:rPr>
          <w:rFonts w:hint="eastAsia" w:ascii="Times New Roman" w:hAnsi="Times New Roman" w:cs="Times New Roman"/>
          <w:color w:val="000000" w:themeColor="text1"/>
          <w:szCs w:val="21"/>
          <w:lang w:val="en-US" w:eastAsia="zh-CN"/>
          <w14:textFill>
            <w14:solidFill>
              <w14:schemeClr w14:val="tx1"/>
            </w14:solidFill>
          </w14:textFill>
        </w:rPr>
        <w:t>和醇类</w:t>
      </w:r>
      <w:r>
        <w:rPr>
          <w:rFonts w:hint="default" w:ascii="Times New Roman" w:hAnsi="Times New Roman" w:cs="Times New Roman"/>
          <w:color w:val="000000" w:themeColor="text1"/>
          <w:szCs w:val="21"/>
          <w14:textFill>
            <w14:solidFill>
              <w14:schemeClr w14:val="tx1"/>
            </w14:solidFill>
          </w14:textFill>
        </w:rPr>
        <w:t>。氧化铁常存在于天然赤铁矿物中，铁锈的主要成分。氧化铁可以被一氧化碳、氢气等还原性气体还原，生成铁。利用这一性质，氧化铁也被广泛用于工业炼铁</w:t>
      </w:r>
      <w:r>
        <w:rPr>
          <w:rFonts w:hint="eastAsia" w:cs="Times New Roman"/>
          <w:color w:val="000000" w:themeColor="text1"/>
          <w:szCs w:val="21"/>
          <w:lang w:eastAsia="zh-CN"/>
          <w14:textFill>
            <w14:solidFill>
              <w14:schemeClr w14:val="tx1"/>
            </w14:solidFill>
          </w14:textFill>
        </w:rPr>
        <w:t>、</w:t>
      </w:r>
      <w:r>
        <w:rPr>
          <w:rFonts w:hint="eastAsia" w:cs="Times New Roman"/>
          <w:color w:val="000000" w:themeColor="text1"/>
          <w:szCs w:val="21"/>
          <w:lang w:val="en-US" w:eastAsia="zh-CN"/>
          <w14:textFill>
            <w14:solidFill>
              <w14:schemeClr w14:val="tx1"/>
            </w14:solidFill>
          </w14:textFill>
        </w:rPr>
        <w:t>炼钢</w:t>
      </w:r>
      <w:r>
        <w:rPr>
          <w:rFonts w:hint="default" w:ascii="Times New Roman" w:hAnsi="Times New Roman" w:cs="Times New Roman"/>
          <w:color w:val="000000" w:themeColor="text1"/>
          <w:szCs w:val="21"/>
          <w14:textFill>
            <w14:solidFill>
              <w14:schemeClr w14:val="tx1"/>
            </w14:solidFill>
          </w14:textFill>
        </w:rPr>
        <w:t>。氧化铁广泛用于油漆、橡胶、塑料、建筑、陶瓷等的</w:t>
      </w:r>
      <w:r>
        <w:rPr>
          <w:rFonts w:hint="default" w:ascii="Times New Roman" w:hAnsi="Times New Roman" w:cs="Times New Roman"/>
          <w:color w:val="000000" w:themeColor="text1"/>
          <w:szCs w:val="21"/>
          <w:u w:val="none"/>
          <w14:textFill>
            <w14:solidFill>
              <w14:schemeClr w14:val="tx1"/>
            </w14:solidFill>
          </w14:textFill>
        </w:rPr>
        <w:t>着色</w:t>
      </w:r>
      <w:r>
        <w:rPr>
          <w:rFonts w:hint="default" w:ascii="Times New Roman" w:hAnsi="Times New Roman" w:cs="Times New Roman"/>
          <w:color w:val="000000" w:themeColor="text1"/>
          <w:szCs w:val="21"/>
          <w14:textFill>
            <w14:solidFill>
              <w14:schemeClr w14:val="tx1"/>
            </w14:solidFill>
          </w14:textFill>
        </w:rPr>
        <w:t>，也可用作食用红色素、分析试剂、催化剂和抛光剂等。</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3.4  产品用途</w:t>
      </w:r>
    </w:p>
    <w:p>
      <w:pPr>
        <w:spacing w:line="360" w:lineRule="atLeast"/>
        <w:ind w:firstLine="420" w:firstLineChars="200"/>
        <w:jc w:val="left"/>
        <w:rPr>
          <w:rFonts w:hint="default"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eastAsia="zh-CN"/>
          <w14:textFill>
            <w14:solidFill>
              <w14:schemeClr w14:val="tx1"/>
            </w14:solidFill>
          </w14:textFill>
        </w:rPr>
        <w:t>工业</w:t>
      </w:r>
      <w:r>
        <w:rPr>
          <w:rFonts w:hint="eastAsia" w:ascii="Times New Roman" w:hAnsi="Times New Roman" w:cs="Times New Roman"/>
          <w:color w:val="000000" w:themeColor="text1"/>
          <w:szCs w:val="21"/>
          <w:lang w:val="en-US" w:eastAsia="zh-CN"/>
          <w14:textFill>
            <w14:solidFill>
              <w14:schemeClr w14:val="tx1"/>
            </w14:solidFill>
          </w14:textFill>
        </w:rPr>
        <w:t>氧化铁主要用作</w:t>
      </w:r>
      <w:r>
        <w:rPr>
          <w:rFonts w:hint="eastAsia" w:ascii="Times New Roman" w:hAnsi="Times New Roman" w:cs="Times New Roman"/>
          <w:color w:val="000000" w:themeColor="text1"/>
          <w:szCs w:val="21"/>
          <w14:textFill>
            <w14:solidFill>
              <w14:schemeClr w14:val="tx1"/>
            </w14:solidFill>
          </w14:textFill>
        </w:rPr>
        <w:t>软磁铁氧体、硬磁铁氧体、宝石及金属抛光膏</w:t>
      </w:r>
      <w:r>
        <w:rPr>
          <w:rFonts w:hint="eastAsia" w:ascii="Times New Roman" w:hAnsi="Times New Roman" w:cs="Times New Roman"/>
          <w:color w:val="000000" w:themeColor="text1"/>
          <w:szCs w:val="21"/>
          <w:lang w:val="en-US" w:eastAsia="zh-CN"/>
          <w14:textFill>
            <w14:solidFill>
              <w14:schemeClr w14:val="tx1"/>
            </w14:solidFill>
          </w14:textFill>
        </w:rPr>
        <w:t>原料，作为</w:t>
      </w:r>
      <w:r>
        <w:rPr>
          <w:rFonts w:hint="eastAsia" w:ascii="Times New Roman" w:hAnsi="Times New Roman" w:cs="Times New Roman"/>
          <w:color w:val="000000" w:themeColor="text1"/>
          <w:szCs w:val="21"/>
          <w14:textFill>
            <w14:solidFill>
              <w14:schemeClr w14:val="tx1"/>
            </w14:solidFill>
          </w14:textFill>
        </w:rPr>
        <w:t>催化剂、脱硫剂、陶瓷釉料以及炼铁</w:t>
      </w:r>
      <w:r>
        <w:rPr>
          <w:rFonts w:hint="eastAsia" w:cs="Times New Roman"/>
          <w:color w:val="000000" w:themeColor="text1"/>
          <w:szCs w:val="21"/>
          <w:lang w:val="en-US" w:eastAsia="zh-CN"/>
          <w14:textFill>
            <w14:solidFill>
              <w14:schemeClr w14:val="tx1"/>
            </w14:solidFill>
          </w14:textFill>
        </w:rPr>
        <w:t>炼钢</w:t>
      </w:r>
      <w:r>
        <w:rPr>
          <w:rFonts w:hint="eastAsia" w:ascii="Times New Roman" w:hAnsi="Times New Roman" w:cs="Times New Roman"/>
          <w:color w:val="000000" w:themeColor="text1"/>
          <w:szCs w:val="21"/>
          <w14:textFill>
            <w14:solidFill>
              <w14:schemeClr w14:val="tx1"/>
            </w14:solidFill>
          </w14:textFill>
        </w:rPr>
        <w:t>原料、制备其他铁盐原料等</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也作为新能源电池</w:t>
      </w:r>
      <w:r>
        <w:rPr>
          <w:rFonts w:hint="eastAsia" w:ascii="Times New Roman" w:hAnsi="Times New Roman" w:cs="Times New Roman"/>
          <w:color w:val="000000" w:themeColor="text1"/>
          <w:szCs w:val="21"/>
          <w14:textFill>
            <w14:solidFill>
              <w14:schemeClr w14:val="tx1"/>
            </w14:solidFill>
          </w14:textFill>
        </w:rPr>
        <w:t>铁源。</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3.5  生产工艺</w:t>
      </w:r>
    </w:p>
    <w:p>
      <w:pPr>
        <w:spacing w:line="360" w:lineRule="atLeast"/>
        <w:ind w:firstLine="420" w:firstLineChars="200"/>
        <w:jc w:val="left"/>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1</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直接生产方法</w:t>
      </w:r>
    </w:p>
    <w:p>
      <w:pPr>
        <w:spacing w:line="360" w:lineRule="atLeast"/>
        <w:ind w:firstLine="420" w:firstLineChars="200"/>
        <w:jc w:val="left"/>
        <w:rPr>
          <w:rFonts w:hint="eastAsia"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制备氧化铁的方法有很多，</w:t>
      </w:r>
      <w:r>
        <w:rPr>
          <w:rFonts w:hint="eastAsia" w:ascii="Times New Roman" w:hAnsi="Times New Roman" w:cs="Times New Roman"/>
          <w:color w:val="000000" w:themeColor="text1"/>
          <w:szCs w:val="21"/>
          <w:lang w:val="en-US" w:eastAsia="zh-CN"/>
          <w14:textFill>
            <w14:solidFill>
              <w14:schemeClr w14:val="tx1"/>
            </w14:solidFill>
          </w14:textFill>
        </w:rPr>
        <w:t>工业生产方法</w:t>
      </w:r>
      <w:r>
        <w:rPr>
          <w:rFonts w:hint="eastAsia" w:ascii="Times New Roman" w:hAnsi="Times New Roman" w:cs="Times New Roman"/>
          <w:color w:val="000000" w:themeColor="text1"/>
          <w:szCs w:val="21"/>
          <w14:textFill>
            <w14:solidFill>
              <w14:schemeClr w14:val="tx1"/>
            </w14:solidFill>
          </w14:textFill>
        </w:rPr>
        <w:t>分别有干法和湿法两种。</w:t>
      </w:r>
    </w:p>
    <w:p>
      <w:pPr>
        <w:spacing w:line="360" w:lineRule="atLeast"/>
        <w:ind w:firstLine="420" w:firstLineChars="200"/>
        <w:jc w:val="left"/>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a干法，干法工艺是通过高温焙烧含铁原料，使其直接氧化生成氧化铁。这种方法工艺简单，但能耗较大，如以提纯后的绿矾（七水合硫酸铁）为原料，在800 ℃的高温条件下煅烧使绿矾脱水氧化生成产物氧化铁。将粗产物通过粉碎、水洗、干燥等步骤即可获得纯净的氧化铁。</w:t>
      </w:r>
    </w:p>
    <w:p>
      <w:pPr>
        <w:spacing w:line="360" w:lineRule="atLeast"/>
        <w:ind w:firstLine="420" w:firstLineChars="200"/>
        <w:jc w:val="left"/>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b</w:t>
      </w:r>
      <w:r>
        <w:rPr>
          <w:rFonts w:hint="default" w:ascii="Times New Roman" w:hAnsi="Times New Roman" w:cs="Times New Roman"/>
          <w:color w:val="000000" w:themeColor="text1"/>
          <w:szCs w:val="21"/>
          <w:lang w:val="en-US" w:eastAsia="zh-CN"/>
          <w14:textFill>
            <w14:solidFill>
              <w14:schemeClr w14:val="tx1"/>
            </w14:solidFill>
          </w14:textFill>
        </w:rPr>
        <w:t>湿法</w:t>
      </w:r>
      <w:r>
        <w:rPr>
          <w:rFonts w:hint="eastAsia" w:ascii="Times New Roman" w:hAnsi="Times New Roman" w:cs="Times New Roman"/>
          <w:color w:val="000000" w:themeColor="text1"/>
          <w:szCs w:val="21"/>
          <w:lang w:val="en-US" w:eastAsia="zh-CN"/>
          <w14:textFill>
            <w14:solidFill>
              <w14:schemeClr w14:val="tx1"/>
            </w14:solidFill>
          </w14:textFill>
        </w:rPr>
        <w:t>，湿法工艺是制造氧化铁的一种常见方法，主要包括酸浸、沉淀、过滤、干燥和焙烧等步骤。首先，将含铁原料与酸（如硫酸、盐酸等）反应，生成铁盐溶液。然后，通过调节pH值，使铁盐沉淀，形成氧化铁前驱体。接着，经过过滤、干燥，最后将前驱体焙烧成氧化铁。</w:t>
      </w:r>
    </w:p>
    <w:p>
      <w:pPr>
        <w:spacing w:line="360" w:lineRule="atLeast"/>
        <w:ind w:firstLine="420" w:firstLineChars="200"/>
        <w:jc w:val="left"/>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（2）回收利用方法</w:t>
      </w:r>
    </w:p>
    <w:p>
      <w:pPr>
        <w:keepNext w:val="0"/>
        <w:keepLines w:val="0"/>
        <w:pageBreakBefore w:val="0"/>
        <w:widowControl w:val="0"/>
        <w:tabs>
          <w:tab w:val="left" w:pos="1209"/>
        </w:tabs>
        <w:kinsoku/>
        <w:wordWrap/>
        <w:overflowPunct/>
        <w:topLinePunct/>
        <w:autoSpaceDE/>
        <w:autoSpaceDN/>
        <w:bidi w:val="0"/>
        <w:adjustRightInd/>
        <w:snapToGrid/>
        <w:spacing w:line="360" w:lineRule="exact"/>
        <w:ind w:firstLine="420" w:firstLineChars="200"/>
        <w:textAlignment w:val="auto"/>
        <w:rPr>
          <w:rStyle w:val="45"/>
          <w:rFonts w:hint="default" w:ascii="Helvetica" w:hAnsi="Helvetica" w:eastAsia="宋体" w:cs="Helvetica"/>
          <w:color w:val="000000"/>
          <w:lang w:val="en-US" w:eastAsia="zh-CN"/>
        </w:rPr>
      </w:pPr>
      <w:r>
        <w:rPr>
          <w:rStyle w:val="45"/>
          <w:rFonts w:hint="eastAsia" w:ascii="Helvetica" w:hAnsi="Helvetica" w:cs="Helvetica"/>
          <w:color w:val="000000"/>
          <w:lang w:val="en-US" w:eastAsia="zh-CN"/>
        </w:rPr>
        <w:t>目前由于氧化铁产品的附加值不高，高端产品产能相对较少，而随着钢铁产品的产量提升，酸洗等工艺回收的氧化铁产品已经占据了很大一部分。酸洗废液通过喷雾焙烧或流化床焙烧工艺，得到副产酸和氧化铁粉。</w:t>
      </w:r>
    </w:p>
    <w:p>
      <w:pPr>
        <w:pStyle w:val="21"/>
        <w:topLinePunct/>
        <w:autoSpaceDE/>
        <w:autoSpaceDN/>
        <w:spacing w:before="156" w:beforeLines="50" w:after="156" w:afterLines="50" w:line="360" w:lineRule="exact"/>
        <w:rPr>
          <w:rFonts w:eastAsia="黑体"/>
        </w:rPr>
      </w:pPr>
      <w:r>
        <w:rPr>
          <w:rFonts w:hint="eastAsia" w:eastAsia="黑体"/>
        </w:rPr>
        <w:t>修标原则</w:t>
      </w:r>
    </w:p>
    <w:p>
      <w:pPr>
        <w:topLinePunct/>
        <w:spacing w:line="360" w:lineRule="exact"/>
      </w:pPr>
      <w:r>
        <w:rPr>
          <w:rFonts w:hint="eastAsia" w:ascii="黑体" w:eastAsia="黑体"/>
        </w:rPr>
        <w:t xml:space="preserve">4.1  </w:t>
      </w:r>
      <w:r>
        <w:rPr>
          <w:rFonts w:hint="eastAsia"/>
        </w:rPr>
        <w:t>积极采用国际标准和国外先进标准的原则；</w:t>
      </w:r>
    </w:p>
    <w:p>
      <w:pPr>
        <w:topLinePunct/>
        <w:spacing w:line="360" w:lineRule="exact"/>
      </w:pPr>
      <w:r>
        <w:rPr>
          <w:rFonts w:hint="eastAsia" w:ascii="黑体" w:eastAsia="黑体"/>
        </w:rPr>
        <w:t xml:space="preserve">4.2  </w:t>
      </w:r>
      <w:r>
        <w:rPr>
          <w:rFonts w:hint="eastAsia"/>
        </w:rPr>
        <w:t>有利于促进技术进步，提高产品质量的原则；</w:t>
      </w:r>
    </w:p>
    <w:p>
      <w:pPr>
        <w:topLinePunct/>
        <w:spacing w:line="360" w:lineRule="exact"/>
      </w:pPr>
      <w:r>
        <w:rPr>
          <w:rFonts w:hint="eastAsia" w:ascii="黑体" w:eastAsia="黑体"/>
        </w:rPr>
        <w:t xml:space="preserve">4.3  </w:t>
      </w:r>
      <w:r>
        <w:rPr>
          <w:rFonts w:hint="eastAsia"/>
        </w:rPr>
        <w:t>有利于合理利用资源，提高经济效益的原则；</w:t>
      </w:r>
    </w:p>
    <w:p>
      <w:pPr>
        <w:topLinePunct/>
        <w:spacing w:line="360" w:lineRule="exact"/>
      </w:pPr>
      <w:r>
        <w:rPr>
          <w:rFonts w:hint="eastAsia" w:ascii="黑体" w:eastAsia="黑体"/>
        </w:rPr>
        <w:t xml:space="preserve">4.4  </w:t>
      </w:r>
      <w:r>
        <w:rPr>
          <w:rFonts w:hint="eastAsia"/>
        </w:rPr>
        <w:t>符合用户要求，保护消费者利益、促进对外贸易的原则；</w:t>
      </w:r>
    </w:p>
    <w:p>
      <w:pPr>
        <w:topLinePunct/>
        <w:spacing w:line="360" w:lineRule="exact"/>
      </w:pPr>
      <w:r>
        <w:rPr>
          <w:rFonts w:hint="eastAsia" w:ascii="黑体" w:eastAsia="黑体"/>
        </w:rPr>
        <w:t xml:space="preserve">4.5  </w:t>
      </w:r>
      <w:r>
        <w:rPr>
          <w:rFonts w:hint="eastAsia"/>
        </w:rPr>
        <w:t>遵循科学性、先进性、统一性的原则。</w:t>
      </w:r>
    </w:p>
    <w:p>
      <w:pPr>
        <w:pStyle w:val="21"/>
        <w:topLinePunct/>
        <w:autoSpaceDE/>
        <w:autoSpaceDN/>
        <w:spacing w:before="156" w:beforeLines="50" w:after="156" w:afterLines="50" w:line="360" w:lineRule="exact"/>
        <w:rPr>
          <w:rFonts w:ascii="宋体"/>
          <w:color w:val="000000"/>
        </w:rPr>
      </w:pPr>
      <w:r>
        <w:rPr>
          <w:rFonts w:hint="eastAsia" w:ascii="黑体" w:eastAsia="黑体"/>
        </w:rPr>
        <w:t>国内</w:t>
      </w:r>
      <w:r>
        <w:rPr>
          <w:rFonts w:hint="eastAsia" w:eastAsia="黑体"/>
          <w:color w:val="000000"/>
        </w:rPr>
        <w:t>外标准概况</w:t>
      </w:r>
    </w:p>
    <w:p>
      <w:pPr>
        <w:ind w:firstLine="420"/>
        <w:rPr>
          <w:rFonts w:ascii="宋体" w:hAnsi="宋体"/>
        </w:rPr>
      </w:pPr>
      <w:r>
        <w:rPr>
          <w:rFonts w:hAnsi="Courier New"/>
          <w:color w:val="111111"/>
        </w:rPr>
        <w:t>目前</w:t>
      </w:r>
      <w:r>
        <w:rPr>
          <w:rFonts w:hint="eastAsia" w:hAnsi="Courier New"/>
          <w:color w:val="111111"/>
        </w:rPr>
        <w:t>未</w:t>
      </w:r>
      <w:r>
        <w:rPr>
          <w:rFonts w:hAnsi="Courier New"/>
          <w:color w:val="111111"/>
        </w:rPr>
        <w:t>收集到</w:t>
      </w:r>
      <w:r>
        <w:rPr>
          <w:rFonts w:hint="eastAsia" w:hAnsi="Courier New"/>
          <w:color w:val="111111"/>
        </w:rPr>
        <w:t>工业用途的</w:t>
      </w:r>
      <w:r>
        <w:rPr>
          <w:rFonts w:hAnsi="Courier New"/>
          <w:color w:val="111111"/>
        </w:rPr>
        <w:t>国外标准</w:t>
      </w:r>
      <w:r>
        <w:rPr>
          <w:rFonts w:hint="eastAsia" w:hAnsi="Courier New"/>
          <w:color w:val="111111"/>
        </w:rPr>
        <w:t>，ISO目前有ISO 1248《氧化铁颜料》系列标准。</w:t>
      </w:r>
      <w:r>
        <w:rPr>
          <w:rFonts w:hint="eastAsia"/>
        </w:rPr>
        <w:t>我国标准为HG/T 2574-2009</w:t>
      </w:r>
      <w:r>
        <w:t>《</w:t>
      </w:r>
      <w:r>
        <w:rPr>
          <w:rFonts w:hint="eastAsia"/>
        </w:rPr>
        <w:t>工业氧化铁</w:t>
      </w:r>
      <w:r>
        <w:t>》</w:t>
      </w:r>
      <w:r>
        <w:rPr>
          <w:rFonts w:hint="eastAsia"/>
        </w:rPr>
        <w:t>、</w:t>
      </w:r>
      <w:r>
        <w:rPr>
          <w:rFonts w:hint="eastAsia" w:hAnsi="Courier New"/>
          <w:color w:val="111111"/>
        </w:rPr>
        <w:t>GB/T 1863-2008</w:t>
      </w:r>
      <w:r>
        <w:rPr>
          <w:rFonts w:hint="eastAsia"/>
        </w:rPr>
        <w:t>《</w:t>
      </w:r>
      <w:r>
        <w:rPr>
          <w:rFonts w:hint="eastAsia" w:hAnsi="Courier New"/>
          <w:color w:val="111111"/>
        </w:rPr>
        <w:t>氧化铁颜料</w:t>
      </w:r>
      <w:r>
        <w:rPr>
          <w:rFonts w:hint="eastAsia"/>
        </w:rPr>
        <w:t>》</w:t>
      </w:r>
      <w:r>
        <w:rPr>
          <w:rFonts w:hint="eastAsia" w:hAnsi="Courier New"/>
          <w:color w:val="111111"/>
        </w:rPr>
        <w:t>等</w:t>
      </w:r>
      <w:r>
        <w:rPr>
          <w:rFonts w:hint="eastAsia" w:ascii="宋体" w:hAnsi="宋体"/>
        </w:rPr>
        <w:t>。</w:t>
      </w:r>
    </w:p>
    <w:p>
      <w:pPr>
        <w:spacing w:line="360" w:lineRule="exact"/>
        <w:ind w:firstLine="420" w:firstLineChars="200"/>
        <w:rPr>
          <w:rFonts w:ascii="宋体"/>
          <w:color w:val="000000"/>
        </w:rPr>
      </w:pPr>
      <w:r>
        <w:rPr>
          <w:rFonts w:hAnsi="Courier New"/>
          <w:color w:val="111111"/>
        </w:rPr>
        <w:t>本次</w:t>
      </w:r>
      <w:r>
        <w:rPr>
          <w:rFonts w:hint="eastAsia" w:hAnsi="Courier New"/>
          <w:color w:val="111111"/>
        </w:rPr>
        <w:t>修订从国内外供需要求出发，立足我国发展现状，通过修订标准全方位完善我国工业</w:t>
      </w:r>
      <w:r>
        <w:rPr>
          <w:rFonts w:hint="eastAsia"/>
        </w:rPr>
        <w:t>氧</w:t>
      </w:r>
      <w:r>
        <w:rPr>
          <w:rFonts w:hint="eastAsia" w:hAnsi="Courier New"/>
          <w:color w:val="111111"/>
        </w:rPr>
        <w:t>化铁产品的水平，有利于我国工业产品质量提升方针行动的贯彻和执行</w:t>
      </w:r>
      <w:r>
        <w:rPr>
          <w:rFonts w:hAnsi="Courier New"/>
          <w:color w:val="111111"/>
        </w:rPr>
        <w:t>。</w:t>
      </w:r>
    </w:p>
    <w:p>
      <w:pPr>
        <w:pStyle w:val="21"/>
        <w:topLinePunct/>
        <w:autoSpaceDE/>
        <w:autoSpaceDN/>
        <w:spacing w:before="156" w:beforeLines="50" w:after="156" w:afterLines="50" w:line="360" w:lineRule="exact"/>
        <w:rPr>
          <w:rFonts w:ascii="黑体" w:eastAsia="黑体"/>
          <w:color w:val="000000"/>
        </w:rPr>
      </w:pPr>
      <w:r>
        <w:rPr>
          <w:rFonts w:hint="eastAsia" w:ascii="黑体" w:hAnsi="宋体" w:eastAsia="黑体"/>
        </w:rPr>
        <w:t>修标依据</w:t>
      </w:r>
    </w:p>
    <w:p>
      <w:pPr>
        <w:pStyle w:val="21"/>
        <w:numPr>
          <w:ilvl w:val="0"/>
          <w:numId w:val="0"/>
        </w:numPr>
        <w:topLinePunct/>
        <w:autoSpaceDE/>
        <w:autoSpaceDN/>
        <w:spacing w:line="360" w:lineRule="exact"/>
        <w:rPr>
          <w:rFonts w:ascii="宋体" w:hAnsi="宋体"/>
          <w:color w:val="000000"/>
        </w:rPr>
      </w:pPr>
      <w:r>
        <w:rPr>
          <w:rFonts w:hint="eastAsia" w:ascii="黑体" w:hAnsi="宋体" w:eastAsia="黑体"/>
        </w:rPr>
        <w:t xml:space="preserve">6.1  </w:t>
      </w:r>
      <w:r>
        <w:t>《</w:t>
      </w:r>
      <w:r>
        <w:rPr>
          <w:rFonts w:hint="eastAsia"/>
        </w:rPr>
        <w:t>工业氧化铁</w:t>
      </w:r>
      <w:r>
        <w:t>》</w:t>
      </w:r>
      <w:r>
        <w:rPr>
          <w:rFonts w:hint="eastAsia"/>
        </w:rPr>
        <w:t>HG/T 2574-2009</w:t>
      </w:r>
      <w:r>
        <w:rPr>
          <w:rFonts w:hint="eastAsia" w:ascii="宋体" w:hAnsi="宋体"/>
          <w:color w:val="000000"/>
        </w:rPr>
        <w:t>。</w:t>
      </w:r>
    </w:p>
    <w:p>
      <w:pPr>
        <w:spacing w:line="360" w:lineRule="exact"/>
        <w:rPr>
          <w:color w:val="000000"/>
          <w:szCs w:val="21"/>
        </w:rPr>
      </w:pPr>
      <w:r>
        <w:rPr>
          <w:rFonts w:hint="eastAsia" w:ascii="黑体" w:hAnsi="宋体" w:eastAsia="黑体"/>
        </w:rPr>
        <w:t xml:space="preserve">6.2  </w:t>
      </w:r>
      <w:r>
        <w:rPr>
          <w:rFonts w:hint="eastAsia" w:ascii="宋体" w:hAnsi="宋体"/>
        </w:rPr>
        <w:t>生产企业实际生产情况、</w:t>
      </w:r>
      <w:r>
        <w:rPr>
          <w:color w:val="000000"/>
          <w:szCs w:val="21"/>
        </w:rPr>
        <w:t>用户要求</w:t>
      </w:r>
      <w:r>
        <w:rPr>
          <w:rFonts w:hint="eastAsia"/>
          <w:color w:val="000000"/>
          <w:szCs w:val="21"/>
        </w:rPr>
        <w:t>。</w:t>
      </w:r>
    </w:p>
    <w:p>
      <w:pPr>
        <w:spacing w:line="360" w:lineRule="exact"/>
        <w:rPr>
          <w:color w:val="000000"/>
          <w:szCs w:val="21"/>
        </w:rPr>
      </w:pPr>
      <w:r>
        <w:rPr>
          <w:rFonts w:hint="eastAsia" w:ascii="黑体" w:hAnsi="宋体" w:eastAsia="黑体"/>
          <w:color w:val="000000"/>
          <w:szCs w:val="21"/>
        </w:rPr>
        <w:t>6.3</w:t>
      </w:r>
      <w:r>
        <w:rPr>
          <w:rFonts w:hint="eastAsia" w:ascii="黑体" w:eastAsia="黑体"/>
          <w:color w:val="000000"/>
          <w:szCs w:val="21"/>
        </w:rPr>
        <w:t xml:space="preserve"> </w:t>
      </w:r>
      <w:r>
        <w:rPr>
          <w:rFonts w:eastAsia="黑体"/>
          <w:color w:val="000000"/>
          <w:szCs w:val="21"/>
        </w:rPr>
        <w:t xml:space="preserve"> </w:t>
      </w:r>
      <w:r>
        <w:rPr>
          <w:color w:val="000000"/>
          <w:szCs w:val="21"/>
        </w:rPr>
        <w:t>生产厂家质量月报（见附表1）</w:t>
      </w:r>
      <w:r>
        <w:rPr>
          <w:rFonts w:hint="eastAsia"/>
          <w:color w:val="000000"/>
          <w:szCs w:val="21"/>
        </w:rPr>
        <w:t>。</w:t>
      </w:r>
    </w:p>
    <w:p>
      <w:pPr>
        <w:spacing w:line="360" w:lineRule="exact"/>
        <w:rPr>
          <w:color w:val="000000"/>
          <w:szCs w:val="21"/>
        </w:rPr>
      </w:pPr>
      <w:r>
        <w:rPr>
          <w:rFonts w:hint="eastAsia" w:ascii="黑体" w:eastAsia="黑体"/>
          <w:color w:val="000000"/>
          <w:szCs w:val="21"/>
        </w:rPr>
        <w:t xml:space="preserve">6.4 </w:t>
      </w:r>
      <w:r>
        <w:rPr>
          <w:rFonts w:eastAsia="黑体"/>
          <w:color w:val="000000"/>
          <w:szCs w:val="21"/>
        </w:rPr>
        <w:t xml:space="preserve"> </w:t>
      </w:r>
      <w:r>
        <w:rPr>
          <w:color w:val="000000"/>
          <w:szCs w:val="21"/>
        </w:rPr>
        <w:t>生产厂家试验累积数据（见附表2）。</w:t>
      </w:r>
    </w:p>
    <w:p>
      <w:pPr>
        <w:pStyle w:val="21"/>
        <w:topLinePunct/>
        <w:autoSpaceDE/>
        <w:autoSpaceDN/>
        <w:spacing w:before="156" w:beforeLines="50" w:after="156" w:afterLines="50" w:line="360" w:lineRule="exact"/>
        <w:rPr>
          <w:rFonts w:ascii="黑体" w:eastAsia="黑体"/>
          <w:color w:val="000000"/>
        </w:rPr>
      </w:pPr>
      <w:r>
        <w:rPr>
          <w:rFonts w:hint="eastAsia" w:ascii="黑体" w:eastAsia="黑体"/>
          <w:color w:val="000000"/>
        </w:rPr>
        <w:t>标准</w:t>
      </w:r>
      <w:r>
        <w:rPr>
          <w:rFonts w:hint="eastAsia" w:ascii="黑体" w:hAnsi="宋体" w:eastAsia="黑体"/>
          <w:color w:val="000000"/>
        </w:rPr>
        <w:t>内容</w:t>
      </w:r>
      <w:r>
        <w:rPr>
          <w:rFonts w:hint="eastAsia" w:ascii="黑体" w:eastAsia="黑体"/>
          <w:color w:val="000000"/>
        </w:rPr>
        <w:t xml:space="preserve">说明 </w:t>
      </w:r>
      <w:r>
        <w:rPr>
          <w:rFonts w:ascii="黑体" w:eastAsia="黑体"/>
          <w:color w:val="000000"/>
        </w:rPr>
        <w:t xml:space="preserve"> </w:t>
      </w:r>
    </w:p>
    <w:p>
      <w:pPr>
        <w:spacing w:line="36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本次修标，根据</w:t>
      </w:r>
      <w:r>
        <w:t>《</w:t>
      </w:r>
      <w:r>
        <w:rPr>
          <w:rFonts w:hint="eastAsia"/>
        </w:rPr>
        <w:t>工业氧化铁</w:t>
      </w:r>
      <w:r>
        <w:t>》</w:t>
      </w:r>
      <w:r>
        <w:rPr>
          <w:rFonts w:hint="eastAsia"/>
        </w:rPr>
        <w:t>HG/T 2574-2009</w:t>
      </w:r>
      <w:r>
        <w:rPr>
          <w:rFonts w:hint="eastAsia"/>
          <w:color w:val="000000" w:themeColor="text1"/>
          <w:szCs w:val="21"/>
          <w14:textFill>
            <w14:solidFill>
              <w14:schemeClr w14:val="tx1"/>
            </w14:solidFill>
          </w14:textFill>
        </w:rPr>
        <w:t>实施以来的使用情况、行业的发展以及国内外用户对</w:t>
      </w:r>
      <w:r>
        <w:rPr>
          <w:rFonts w:hint="eastAsia"/>
          <w:color w:val="000000" w:themeColor="text1"/>
          <w:szCs w:val="21"/>
          <w:lang w:eastAsia="zh-CN"/>
          <w14:textFill>
            <w14:solidFill>
              <w14:schemeClr w14:val="tx1"/>
            </w14:solidFill>
          </w14:textFill>
        </w:rPr>
        <w:t>工业</w:t>
      </w:r>
      <w:r>
        <w:rPr>
          <w:rFonts w:hint="eastAsia"/>
          <w:color w:val="000000" w:themeColor="text1"/>
          <w:szCs w:val="21"/>
          <w:lang w:val="en-US" w:eastAsia="zh-CN"/>
          <w14:textFill>
            <w14:solidFill>
              <w14:schemeClr w14:val="tx1"/>
            </w14:solidFill>
          </w14:textFill>
        </w:rPr>
        <w:t>氧化铁</w:t>
      </w:r>
      <w:r>
        <w:rPr>
          <w:rFonts w:hint="eastAsia"/>
          <w:color w:val="000000" w:themeColor="text1"/>
          <w:szCs w:val="21"/>
          <w14:textFill>
            <w14:solidFill>
              <w14:schemeClr w14:val="tx1"/>
            </w14:solidFill>
          </w14:textFill>
        </w:rPr>
        <w:t>使用要求，对原标准进行修订。</w:t>
      </w:r>
    </w:p>
    <w:p>
      <w:pPr>
        <w:pStyle w:val="21"/>
        <w:numPr>
          <w:ilvl w:val="0"/>
          <w:numId w:val="0"/>
        </w:numPr>
        <w:topLinePunct/>
        <w:autoSpaceDE/>
        <w:autoSpaceDN/>
        <w:spacing w:before="156" w:beforeLines="50" w:after="156" w:afterLines="50" w:line="360" w:lineRule="exact"/>
        <w:rPr>
          <w:rFonts w:ascii="黑体" w:hAnsi="黑体" w:eastAsia="黑体" w:cs="黑体"/>
        </w:rPr>
      </w:pPr>
      <w:bookmarkStart w:id="1" w:name="_Toc26986530"/>
      <w:bookmarkStart w:id="2" w:name="_Toc24884218"/>
      <w:bookmarkStart w:id="3" w:name="_Toc17233333"/>
      <w:bookmarkStart w:id="4" w:name="_Toc26718930"/>
      <w:bookmarkStart w:id="5" w:name="_Toc26648465"/>
      <w:bookmarkStart w:id="6" w:name="_Toc26986771"/>
      <w:bookmarkStart w:id="7" w:name="_Toc24884211"/>
      <w:bookmarkStart w:id="8" w:name="_Toc17233325"/>
      <w:r>
        <w:rPr>
          <w:rFonts w:hint="eastAsia" w:ascii="黑体" w:hAnsi="黑体" w:eastAsia="黑体" w:cs="黑体"/>
        </w:rPr>
        <w:t>7.1  范围</w:t>
      </w:r>
      <w:bookmarkEnd w:id="1"/>
      <w:bookmarkEnd w:id="2"/>
      <w:bookmarkEnd w:id="3"/>
      <w:bookmarkEnd w:id="4"/>
      <w:bookmarkEnd w:id="5"/>
      <w:bookmarkEnd w:id="6"/>
      <w:bookmarkEnd w:id="7"/>
      <w:bookmarkEnd w:id="8"/>
    </w:p>
    <w:p>
      <w:pPr>
        <w:autoSpaceDE w:val="0"/>
        <w:autoSpaceDN w:val="0"/>
        <w:adjustRightInd w:val="0"/>
        <w:spacing w:line="300" w:lineRule="auto"/>
        <w:ind w:firstLine="420" w:firstLineChars="200"/>
        <w:jc w:val="left"/>
        <w:rPr>
          <w:rFonts w:ascii="宋体" w:hAnsi="宋体" w:cs="AdobeHeitiStd-Regular"/>
          <w:color w:val="000000"/>
          <w:kern w:val="0"/>
          <w:szCs w:val="21"/>
        </w:rPr>
      </w:pPr>
      <w:r>
        <w:rPr>
          <w:rFonts w:hint="eastAsia"/>
          <w:color w:val="000000"/>
          <w:szCs w:val="21"/>
        </w:rPr>
        <w:t>本</w:t>
      </w:r>
      <w:r>
        <w:rPr>
          <w:rFonts w:hint="eastAsia"/>
          <w:color w:val="000000"/>
          <w:szCs w:val="21"/>
          <w:lang w:val="en-US" w:eastAsia="zh-CN"/>
        </w:rPr>
        <w:t>文件</w:t>
      </w:r>
      <w:r>
        <w:rPr>
          <w:rFonts w:hint="eastAsia"/>
          <w:color w:val="000000"/>
          <w:szCs w:val="21"/>
        </w:rPr>
        <w:t>规定了工业</w:t>
      </w:r>
      <w:r>
        <w:rPr>
          <w:rFonts w:hint="eastAsia"/>
          <w:color w:val="000000"/>
          <w:szCs w:val="21"/>
          <w:lang w:eastAsia="zh-CN"/>
        </w:rPr>
        <w:t>氧化铁</w:t>
      </w:r>
      <w:r>
        <w:rPr>
          <w:rFonts w:hint="eastAsia"/>
          <w:color w:val="000000"/>
          <w:szCs w:val="21"/>
        </w:rPr>
        <w:t>的</w:t>
      </w:r>
      <w:r>
        <w:rPr>
          <w:rFonts w:hint="eastAsia"/>
          <w:color w:val="000000"/>
          <w:lang w:val="en-US" w:eastAsia="zh-CN"/>
        </w:rPr>
        <w:t>产品分类</w:t>
      </w:r>
      <w:r>
        <w:rPr>
          <w:rFonts w:hint="eastAsia"/>
          <w:color w:val="000000"/>
        </w:rPr>
        <w:t>、</w:t>
      </w:r>
      <w:r>
        <w:rPr>
          <w:rFonts w:hint="eastAsia"/>
          <w:color w:val="000000"/>
          <w:szCs w:val="21"/>
        </w:rPr>
        <w:t>要求、试验方法、检验规则、标志</w:t>
      </w:r>
      <w:r>
        <w:rPr>
          <w:rFonts w:hint="eastAsia"/>
          <w:color w:val="000000"/>
          <w:szCs w:val="21"/>
          <w:lang w:val="en-US" w:eastAsia="zh-CN"/>
        </w:rPr>
        <w:t>和随行文件</w:t>
      </w:r>
      <w:r>
        <w:rPr>
          <w:rFonts w:hint="eastAsia"/>
          <w:color w:val="000000"/>
          <w:szCs w:val="21"/>
        </w:rPr>
        <w:t>、包装、运输</w:t>
      </w:r>
      <w:r>
        <w:rPr>
          <w:rFonts w:hint="eastAsia"/>
          <w:color w:val="000000"/>
          <w:szCs w:val="21"/>
          <w:lang w:val="en-US" w:eastAsia="zh-CN"/>
        </w:rPr>
        <w:t>与</w:t>
      </w:r>
      <w:r>
        <w:rPr>
          <w:rFonts w:hint="eastAsia"/>
          <w:color w:val="000000"/>
          <w:szCs w:val="21"/>
        </w:rPr>
        <w:t>贮存。</w:t>
      </w:r>
    </w:p>
    <w:p>
      <w:pPr>
        <w:spacing w:line="300" w:lineRule="auto"/>
        <w:ind w:firstLine="420" w:firstLineChars="200"/>
        <w:rPr>
          <w:rFonts w:hint="eastAsia"/>
          <w:color w:val="000000"/>
        </w:rPr>
      </w:pPr>
      <w:r>
        <w:rPr>
          <w:rFonts w:hint="eastAsia" w:ascii="宋体" w:hAnsi="宋体" w:cs="AdobeHeitiStd-Regular"/>
          <w:color w:val="000000"/>
          <w:kern w:val="0"/>
          <w:szCs w:val="21"/>
        </w:rPr>
        <w:t>本</w:t>
      </w:r>
      <w:r>
        <w:rPr>
          <w:rFonts w:hint="eastAsia" w:ascii="宋体" w:hAnsi="宋体" w:cs="AdobeHeitiStd-Regular"/>
          <w:color w:val="000000"/>
          <w:kern w:val="0"/>
          <w:szCs w:val="21"/>
          <w:lang w:val="en-US" w:eastAsia="zh-CN"/>
        </w:rPr>
        <w:t>文件</w:t>
      </w:r>
      <w:r>
        <w:rPr>
          <w:rFonts w:hint="eastAsia" w:ascii="宋体" w:hAnsi="宋体" w:cs="AdobeHeitiStd-Regular"/>
          <w:color w:val="000000"/>
          <w:kern w:val="0"/>
          <w:szCs w:val="21"/>
        </w:rPr>
        <w:t>适用于工业</w:t>
      </w:r>
      <w:r>
        <w:rPr>
          <w:rFonts w:hint="eastAsia" w:ascii="宋体" w:hAnsi="宋体" w:cs="AdobeHeitiStd-Regular"/>
          <w:color w:val="000000"/>
          <w:kern w:val="0"/>
          <w:szCs w:val="21"/>
          <w:lang w:eastAsia="zh-CN"/>
        </w:rPr>
        <w:t>氧化铁</w:t>
      </w:r>
      <w:r>
        <w:rPr>
          <w:rFonts w:hint="eastAsia" w:ascii="宋体" w:hAnsi="宋体" w:cs="AdobeHeitiStd-Regular"/>
          <w:color w:val="000000"/>
          <w:kern w:val="0"/>
          <w:szCs w:val="21"/>
        </w:rPr>
        <w:t>。</w:t>
      </w:r>
    </w:p>
    <w:p>
      <w:pPr>
        <w:spacing w:line="360" w:lineRule="exact"/>
        <w:ind w:firstLine="360" w:firstLineChars="200"/>
        <w:rPr>
          <w:rFonts w:hint="eastAsia" w:ascii="宋体" w:hAnsi="Times New Roman" w:eastAsia="宋体"/>
          <w:kern w:val="0"/>
          <w:sz w:val="18"/>
          <w:szCs w:val="18"/>
          <w:lang w:val="en-US" w:eastAsia="zh-CN"/>
        </w:rPr>
      </w:pPr>
      <w:r>
        <w:rPr>
          <w:rFonts w:hint="eastAsia" w:ascii="黑体" w:hAnsi="黑体" w:eastAsia="黑体"/>
          <w:sz w:val="18"/>
          <w:szCs w:val="18"/>
        </w:rPr>
        <w:t>注：</w:t>
      </w:r>
      <w:r>
        <w:rPr>
          <w:rFonts w:hint="eastAsia"/>
          <w:color w:val="000000"/>
          <w:sz w:val="18"/>
          <w:szCs w:val="18"/>
        </w:rPr>
        <w:t>该产品</w:t>
      </w:r>
      <w:r>
        <w:rPr>
          <w:rFonts w:hint="eastAsia"/>
          <w:color w:val="000000"/>
          <w:sz w:val="18"/>
          <w:szCs w:val="18"/>
          <w:lang w:val="en-US" w:eastAsia="zh-CN"/>
        </w:rPr>
        <w:t>主要用作</w:t>
      </w:r>
      <w:r>
        <w:rPr>
          <w:rFonts w:hint="eastAsia"/>
          <w:sz w:val="18"/>
          <w:szCs w:val="18"/>
        </w:rPr>
        <w:t>软磁铁氧体、硬磁铁氧体、宝石及金属抛光膏</w:t>
      </w:r>
      <w:r>
        <w:rPr>
          <w:rFonts w:hint="eastAsia"/>
          <w:sz w:val="18"/>
          <w:szCs w:val="18"/>
          <w:lang w:val="en-US" w:eastAsia="zh-CN"/>
        </w:rPr>
        <w:t>原料，作为</w:t>
      </w:r>
      <w:r>
        <w:rPr>
          <w:rFonts w:hint="eastAsia"/>
          <w:sz w:val="18"/>
          <w:szCs w:val="18"/>
        </w:rPr>
        <w:t>催化剂、脱硫剂、陶瓷釉料以及炼铁</w:t>
      </w:r>
      <w:r>
        <w:rPr>
          <w:rFonts w:hint="eastAsia"/>
          <w:sz w:val="18"/>
          <w:szCs w:val="18"/>
          <w:lang w:eastAsia="zh-CN"/>
        </w:rPr>
        <w:t>、</w:t>
      </w:r>
      <w:r>
        <w:rPr>
          <w:rFonts w:hint="eastAsia"/>
          <w:sz w:val="18"/>
          <w:szCs w:val="18"/>
          <w:lang w:val="en-US" w:eastAsia="zh-CN"/>
        </w:rPr>
        <w:t>炼钢</w:t>
      </w:r>
      <w:r>
        <w:rPr>
          <w:rFonts w:hint="eastAsia"/>
          <w:sz w:val="18"/>
          <w:szCs w:val="18"/>
        </w:rPr>
        <w:t>原料、制备其他铁盐原料等</w:t>
      </w:r>
      <w:r>
        <w:rPr>
          <w:rFonts w:hint="eastAsia"/>
          <w:sz w:val="18"/>
          <w:szCs w:val="18"/>
          <w:lang w:eastAsia="zh-CN"/>
        </w:rPr>
        <w:t>，</w:t>
      </w:r>
      <w:r>
        <w:rPr>
          <w:rFonts w:hint="eastAsia"/>
          <w:sz w:val="18"/>
          <w:szCs w:val="18"/>
          <w:lang w:val="en-US" w:eastAsia="zh-CN"/>
        </w:rPr>
        <w:t>也作为新能源电池</w:t>
      </w:r>
      <w:r>
        <w:rPr>
          <w:rFonts w:hint="eastAsia"/>
          <w:sz w:val="18"/>
          <w:szCs w:val="18"/>
        </w:rPr>
        <w:t>用铁源。</w:t>
      </w:r>
    </w:p>
    <w:p>
      <w:pPr>
        <w:pStyle w:val="21"/>
        <w:numPr>
          <w:ilvl w:val="0"/>
          <w:numId w:val="0"/>
        </w:numPr>
        <w:topLinePunct/>
        <w:autoSpaceDE/>
        <w:autoSpaceDN/>
        <w:spacing w:before="156" w:beforeLines="50" w:after="156" w:afterLines="50" w:line="360" w:lineRule="exact"/>
        <w:rPr>
          <w:rFonts w:ascii="黑体" w:hAnsi="黑体" w:eastAsia="黑体" w:cs="黑体"/>
          <w:color w:val="000000" w:themeColor="text1"/>
          <w14:textFill>
            <w14:solidFill>
              <w14:schemeClr w14:val="tx1"/>
            </w14:solidFill>
          </w14:textFill>
        </w:rPr>
      </w:pPr>
      <w:r>
        <w:rPr>
          <w:rFonts w:hint="eastAsia" w:ascii="黑体" w:hAnsi="宋体" w:eastAsia="黑体"/>
          <w:color w:val="000000" w:themeColor="text1"/>
          <w14:textFill>
            <w14:solidFill>
              <w14:schemeClr w14:val="tx1"/>
            </w14:solidFill>
          </w14:textFill>
        </w:rPr>
        <w:t>7.</w:t>
      </w:r>
      <w:r>
        <w:rPr>
          <w:rFonts w:hint="eastAsia" w:ascii="黑体" w:hAnsi="宋体" w:eastAsia="黑体"/>
          <w:color w:val="000000" w:themeColor="text1"/>
          <w:lang w:val="en-US" w:eastAsia="zh-CN"/>
          <w14:textFill>
            <w14:solidFill>
              <w14:schemeClr w14:val="tx1"/>
            </w14:solidFill>
          </w14:textFill>
        </w:rPr>
        <w:t>2</w:t>
      </w:r>
      <w:r>
        <w:rPr>
          <w:rFonts w:hint="eastAsia" w:ascii="黑体" w:hAnsi="宋体" w:eastAsia="黑体"/>
          <w:color w:val="000000" w:themeColor="text1"/>
          <w14:textFill>
            <w14:solidFill>
              <w14:schemeClr w14:val="tx1"/>
            </w14:solidFill>
          </w14:textFill>
        </w:rPr>
        <w:t xml:space="preserve">  项目及</w:t>
      </w:r>
      <w:r>
        <w:rPr>
          <w:rFonts w:hint="eastAsia" w:ascii="黑体" w:hAnsi="黑体" w:eastAsia="黑体" w:cs="黑体"/>
          <w:color w:val="000000" w:themeColor="text1"/>
          <w14:textFill>
            <w14:solidFill>
              <w14:schemeClr w14:val="tx1"/>
            </w14:solidFill>
          </w14:textFill>
        </w:rPr>
        <w:t>指标</w:t>
      </w:r>
      <w:r>
        <w:rPr>
          <w:rFonts w:hint="eastAsia" w:ascii="黑体" w:hAnsi="宋体" w:eastAsia="黑体"/>
          <w:color w:val="000000" w:themeColor="text1"/>
          <w14:textFill>
            <w14:solidFill>
              <w14:schemeClr w14:val="tx1"/>
            </w14:solidFill>
          </w14:textFill>
        </w:rPr>
        <w:t>的确定</w:t>
      </w:r>
    </w:p>
    <w:p>
      <w:pPr>
        <w:pStyle w:val="19"/>
        <w:spacing w:line="360" w:lineRule="exact"/>
        <w:rPr>
          <w:rFonts w:hint="default" w:ascii="Times New Roman" w:hAnsi="Times New Roman" w:cs="Times New Roman"/>
          <w:color w:val="000000"/>
        </w:rPr>
      </w:pPr>
      <w:r>
        <w:rPr>
          <w:rFonts w:hint="default" w:ascii="Times New Roman" w:hAnsi="Times New Roman" w:cs="Times New Roman"/>
          <w:sz w:val="21"/>
          <w:szCs w:val="21"/>
          <w:lang w:val="en-US" w:eastAsia="zh-CN"/>
        </w:rPr>
        <w:t>本次对</w:t>
      </w:r>
      <w:r>
        <w:rPr>
          <w:rFonts w:hint="default" w:ascii="Times New Roman" w:hAnsi="Times New Roman" w:cs="Times New Roman"/>
        </w:rPr>
        <w:t>《工业氧化铁》HG/T 2574-2009</w:t>
      </w:r>
      <w:r>
        <w:rPr>
          <w:rFonts w:hint="default" w:ascii="Times New Roman" w:hAnsi="Times New Roman" w:cs="Times New Roman"/>
          <w:sz w:val="21"/>
          <w:szCs w:val="21"/>
        </w:rPr>
        <w:t>行业标准的修订，</w:t>
      </w:r>
      <w:r>
        <w:rPr>
          <w:rFonts w:hint="default" w:ascii="Times New Roman" w:hAnsi="Times New Roman" w:cs="Times New Roman"/>
          <w:sz w:val="21"/>
          <w:szCs w:val="21"/>
          <w:lang w:val="en-US" w:eastAsia="zh-CN"/>
        </w:rPr>
        <w:t>以</w:t>
      </w:r>
      <w:r>
        <w:rPr>
          <w:rFonts w:hint="default" w:ascii="Times New Roman" w:hAnsi="Times New Roman" w:cs="Times New Roman"/>
          <w:sz w:val="21"/>
          <w:szCs w:val="21"/>
        </w:rPr>
        <w:t>先进性、适用性和可操作性</w:t>
      </w:r>
      <w:r>
        <w:rPr>
          <w:rFonts w:hint="default" w:ascii="Times New Roman" w:hAnsi="Times New Roman" w:cs="Times New Roman"/>
          <w:sz w:val="21"/>
          <w:szCs w:val="21"/>
          <w:lang w:val="en-US" w:eastAsia="zh-CN"/>
        </w:rPr>
        <w:t>为</w:t>
      </w:r>
      <w:r>
        <w:rPr>
          <w:rFonts w:hint="default" w:ascii="Times New Roman" w:hAnsi="Times New Roman" w:cs="Times New Roman"/>
          <w:sz w:val="21"/>
          <w:szCs w:val="21"/>
        </w:rPr>
        <w:t>原则</w:t>
      </w:r>
      <w:r>
        <w:rPr>
          <w:rFonts w:hint="default" w:ascii="Times New Roman" w:hAnsi="Times New Roman" w:cs="Times New Roman"/>
          <w:sz w:val="21"/>
          <w:szCs w:val="21"/>
          <w:lang w:eastAsia="zh-CN"/>
        </w:rPr>
        <w:t>，</w:t>
      </w:r>
      <w:r>
        <w:rPr>
          <w:rFonts w:hint="default" w:ascii="Times New Roman" w:hAnsi="Times New Roman" w:cs="Times New Roman"/>
          <w:sz w:val="21"/>
          <w:szCs w:val="21"/>
        </w:rPr>
        <w:t>充分</w:t>
      </w:r>
      <w:r>
        <w:rPr>
          <w:rFonts w:hint="default" w:ascii="Times New Roman" w:hAnsi="Times New Roman" w:cs="Times New Roman"/>
          <w:sz w:val="21"/>
          <w:szCs w:val="21"/>
          <w:lang w:val="en-US" w:eastAsia="zh-CN"/>
        </w:rPr>
        <w:t>考虑在行业实施应用效果，从规范行业行为，引导行业技术进步角度出发</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对原标准进行修订，</w:t>
      </w:r>
      <w:r>
        <w:rPr>
          <w:rFonts w:hint="default" w:ascii="Times New Roman" w:hAnsi="Times New Roman" w:cs="Times New Roman"/>
          <w:color w:val="000000"/>
        </w:rPr>
        <w:t>本文件代替</w:t>
      </w:r>
      <w:r>
        <w:rPr>
          <w:rFonts w:hint="default" w:ascii="Times New Roman" w:hAnsi="Times New Roman" w:cs="Times New Roman"/>
          <w:color w:val="000000"/>
          <w:szCs w:val="21"/>
        </w:rPr>
        <w:t xml:space="preserve">HG/T </w:t>
      </w:r>
      <w:r>
        <w:rPr>
          <w:rFonts w:hint="default" w:ascii="Times New Roman" w:hAnsi="Times New Roman" w:cs="Times New Roman"/>
          <w:color w:val="000000"/>
          <w:szCs w:val="21"/>
          <w:lang w:val="en-US" w:eastAsia="zh-CN"/>
        </w:rPr>
        <w:t>2574</w:t>
      </w:r>
      <w:r>
        <w:rPr>
          <w:rFonts w:hint="default" w:ascii="Times New Roman" w:hAnsi="Times New Roman" w:cs="Times New Roman"/>
          <w:color w:val="000000"/>
          <w:szCs w:val="21"/>
        </w:rPr>
        <w:t>—20</w:t>
      </w:r>
      <w:r>
        <w:rPr>
          <w:rFonts w:hint="default" w:ascii="Times New Roman" w:hAnsi="Times New Roman" w:cs="Times New Roman"/>
          <w:color w:val="000000"/>
          <w:szCs w:val="21"/>
          <w:lang w:val="en-US" w:eastAsia="zh-CN"/>
        </w:rPr>
        <w:t>09</w:t>
      </w:r>
      <w:r>
        <w:rPr>
          <w:rFonts w:hint="default" w:ascii="Times New Roman" w:hAnsi="Times New Roman" w:cs="Times New Roman"/>
        </w:rPr>
        <w:t>《工业</w:t>
      </w:r>
      <w:r>
        <w:rPr>
          <w:rFonts w:hint="default" w:ascii="Times New Roman" w:hAnsi="Times New Roman" w:cs="Times New Roman"/>
          <w:lang w:val="en-US" w:eastAsia="zh-CN"/>
        </w:rPr>
        <w:t>氧化铁</w:t>
      </w:r>
      <w:r>
        <w:rPr>
          <w:rFonts w:hint="default" w:ascii="Times New Roman" w:hAnsi="Times New Roman" w:cs="Times New Roman"/>
        </w:rPr>
        <w:t>》</w:t>
      </w:r>
      <w:r>
        <w:rPr>
          <w:rFonts w:hint="default" w:ascii="Times New Roman" w:hAnsi="Times New Roman" w:cs="Times New Roman"/>
          <w:color w:val="000000"/>
        </w:rPr>
        <w:t>，与</w:t>
      </w:r>
      <w:r>
        <w:rPr>
          <w:rFonts w:hint="default" w:ascii="Times New Roman" w:hAnsi="Times New Roman" w:cs="Times New Roman"/>
          <w:color w:val="000000"/>
          <w:szCs w:val="21"/>
        </w:rPr>
        <w:t xml:space="preserve">HG/T </w:t>
      </w:r>
      <w:r>
        <w:rPr>
          <w:rFonts w:hint="default" w:ascii="Times New Roman" w:hAnsi="Times New Roman" w:cs="Times New Roman"/>
          <w:color w:val="000000"/>
          <w:szCs w:val="21"/>
          <w:lang w:val="en-US" w:eastAsia="zh-CN"/>
        </w:rPr>
        <w:t>2574</w:t>
      </w:r>
      <w:r>
        <w:rPr>
          <w:rFonts w:hint="default" w:ascii="Times New Roman" w:hAnsi="Times New Roman" w:cs="Times New Roman"/>
          <w:color w:val="000000"/>
          <w:szCs w:val="21"/>
        </w:rPr>
        <w:t>—20</w:t>
      </w:r>
      <w:r>
        <w:rPr>
          <w:rFonts w:hint="default" w:ascii="Times New Roman" w:hAnsi="Times New Roman" w:cs="Times New Roman"/>
          <w:color w:val="000000"/>
          <w:szCs w:val="21"/>
          <w:lang w:val="en-US" w:eastAsia="zh-CN"/>
        </w:rPr>
        <w:t>09</w:t>
      </w:r>
      <w:r>
        <w:rPr>
          <w:rFonts w:hint="default" w:ascii="Times New Roman" w:hAnsi="Times New Roman" w:cs="Times New Roman"/>
          <w:color w:val="000000"/>
          <w:szCs w:val="21"/>
        </w:rPr>
        <w:t>相比，除结构调整和编辑性改动外，</w:t>
      </w:r>
      <w:r>
        <w:rPr>
          <w:rFonts w:hint="default" w:ascii="Times New Roman" w:hAnsi="Times New Roman" w:cs="Times New Roman"/>
          <w:color w:val="000000"/>
        </w:rPr>
        <w:t>主要技术变化如下：</w:t>
      </w:r>
    </w:p>
    <w:p>
      <w:pPr>
        <w:pStyle w:val="19"/>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lang w:val="en-US" w:eastAsia="zh-CN"/>
        </w:rPr>
        <w:t>a）修改了“</w:t>
      </w:r>
      <w:r>
        <w:rPr>
          <w:rFonts w:hint="default" w:ascii="Times New Roman" w:hAnsi="Times New Roman" w:cs="Times New Roman"/>
        </w:rPr>
        <w:t>范</w:t>
      </w:r>
      <w:r>
        <w:rPr>
          <w:rFonts w:hint="default" w:ascii="Times New Roman" w:hAnsi="Times New Roman" w:cs="Times New Roman"/>
          <w:sz w:val="21"/>
          <w:szCs w:val="21"/>
        </w:rPr>
        <w:t>围</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见第1章，2009年版的第1章</w:t>
      </w:r>
      <w:r>
        <w:rPr>
          <w:rFonts w:hint="default" w:ascii="Times New Roman" w:hAnsi="Times New Roman" w:cs="Times New Roman"/>
          <w:sz w:val="21"/>
          <w:szCs w:val="21"/>
          <w:lang w:eastAsia="zh-CN"/>
        </w:rPr>
        <w:t>）</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本次修订，在现有基础上增加了</w:t>
      </w:r>
      <w:r>
        <w:rPr>
          <w:rFonts w:hint="eastAsia"/>
          <w:sz w:val="21"/>
          <w:szCs w:val="21"/>
        </w:rPr>
        <w:t>催化剂、脱硫剂、陶瓷釉料以及炼铁</w:t>
      </w:r>
      <w:r>
        <w:rPr>
          <w:rFonts w:hint="eastAsia"/>
          <w:sz w:val="21"/>
          <w:szCs w:val="21"/>
          <w:lang w:eastAsia="zh-CN"/>
        </w:rPr>
        <w:t>、</w:t>
      </w:r>
      <w:r>
        <w:rPr>
          <w:rFonts w:hint="eastAsia"/>
          <w:sz w:val="21"/>
          <w:szCs w:val="21"/>
          <w:lang w:val="en-US" w:eastAsia="zh-CN"/>
        </w:rPr>
        <w:t>炼钢</w:t>
      </w:r>
      <w:r>
        <w:rPr>
          <w:rFonts w:hint="eastAsia"/>
          <w:sz w:val="21"/>
          <w:szCs w:val="21"/>
        </w:rPr>
        <w:t>原料、制备其他铁盐原料等</w:t>
      </w:r>
      <w:r>
        <w:rPr>
          <w:rFonts w:hint="eastAsia"/>
          <w:sz w:val="21"/>
          <w:szCs w:val="21"/>
          <w:lang w:eastAsia="zh-CN"/>
        </w:rPr>
        <w:t>，</w:t>
      </w:r>
      <w:r>
        <w:rPr>
          <w:rFonts w:hint="eastAsia"/>
          <w:sz w:val="21"/>
          <w:szCs w:val="21"/>
          <w:lang w:val="en-US" w:eastAsia="zh-CN"/>
        </w:rPr>
        <w:t>也作为新能源电池</w:t>
      </w:r>
      <w:r>
        <w:rPr>
          <w:rFonts w:hint="eastAsia"/>
          <w:sz w:val="21"/>
          <w:szCs w:val="21"/>
        </w:rPr>
        <w:t>铁源</w:t>
      </w:r>
      <w:r>
        <w:rPr>
          <w:rFonts w:hint="eastAsia"/>
          <w:sz w:val="21"/>
          <w:szCs w:val="21"/>
          <w:lang w:val="en-US" w:eastAsia="zh-CN"/>
        </w:rPr>
        <w:t>等用途。</w:t>
      </w:r>
    </w:p>
    <w:p>
      <w:pPr>
        <w:spacing w:line="360" w:lineRule="exact"/>
        <w:ind w:firstLine="420" w:firstLineChars="200"/>
        <w:rPr>
          <w:rFonts w:hint="eastAsia" w:ascii="Times New Roman" w:hAnsi="Times New Roman" w:cs="Times New Roman"/>
          <w:szCs w:val="21"/>
          <w:lang w:val="en-US" w:eastAsia="zh-CN"/>
        </w:rPr>
      </w:pPr>
      <w:r>
        <w:rPr>
          <w:rFonts w:hint="default" w:ascii="Times New Roman" w:hAnsi="Times New Roman" w:cs="Times New Roman"/>
          <w:lang w:val="en-US" w:eastAsia="zh-CN"/>
        </w:rPr>
        <w:t>b）</w:t>
      </w:r>
      <w:r>
        <w:rPr>
          <w:rFonts w:hint="default" w:ascii="Times New Roman" w:hAnsi="Times New Roman" w:cs="Times New Roman"/>
        </w:rPr>
        <w:t>修改</w:t>
      </w:r>
      <w:r>
        <w:rPr>
          <w:rFonts w:hint="default" w:ascii="Times New Roman" w:hAnsi="Times New Roman" w:cs="Times New Roman"/>
          <w:lang w:val="en-US" w:eastAsia="zh-CN"/>
        </w:rPr>
        <w:t>了产品</w:t>
      </w:r>
      <w:r>
        <w:rPr>
          <w:rFonts w:hint="default" w:ascii="Times New Roman" w:hAnsi="Times New Roman" w:cs="Times New Roman"/>
        </w:rPr>
        <w:t>分类</w:t>
      </w:r>
      <w:r>
        <w:rPr>
          <w:rFonts w:hint="default" w:ascii="Times New Roman" w:hAnsi="Times New Roman" w:cs="Times New Roman"/>
          <w:lang w:eastAsia="zh-CN"/>
        </w:rPr>
        <w:t>（</w:t>
      </w:r>
      <w:r>
        <w:rPr>
          <w:rFonts w:hint="default" w:ascii="Times New Roman" w:hAnsi="Times New Roman" w:cs="Times New Roman"/>
          <w:lang w:val="en-US" w:eastAsia="zh-CN"/>
        </w:rPr>
        <w:t>见第5章，2009年版的第4章</w:t>
      </w:r>
      <w:r>
        <w:rPr>
          <w:rFonts w:hint="default" w:ascii="Times New Roman" w:hAnsi="Times New Roman" w:cs="Times New Roman"/>
          <w:lang w:eastAsia="zh-CN"/>
        </w:rPr>
        <w:t>）</w:t>
      </w:r>
      <w:r>
        <w:rPr>
          <w:rFonts w:hint="default" w:ascii="Times New Roman" w:hAnsi="Times New Roman" w:cs="Times New Roman"/>
        </w:rPr>
        <w:t>；</w:t>
      </w:r>
      <w:r>
        <w:rPr>
          <w:rFonts w:hint="eastAsia" w:ascii="Times New Roman" w:hAnsi="Times New Roman" w:cs="Times New Roman"/>
          <w:szCs w:val="21"/>
          <w:lang w:val="en-US" w:eastAsia="zh-CN"/>
        </w:rPr>
        <w:t>本次修订</w:t>
      </w:r>
      <w:r>
        <w:rPr>
          <w:rFonts w:hint="default" w:ascii="Times New Roman" w:hAnsi="Times New Roman" w:cs="Times New Roman"/>
          <w:szCs w:val="21"/>
        </w:rPr>
        <w:t>工业</w:t>
      </w:r>
      <w:r>
        <w:rPr>
          <w:rFonts w:hint="eastAsia" w:ascii="Times New Roman" w:hAnsi="Times New Roman" w:cs="Times New Roman"/>
          <w:szCs w:val="21"/>
          <w:lang w:eastAsia="zh-CN"/>
        </w:rPr>
        <w:t>氧化铁</w:t>
      </w:r>
      <w:r>
        <w:rPr>
          <w:rFonts w:hint="eastAsia" w:ascii="Times New Roman" w:hAnsi="Times New Roman" w:cs="Times New Roman"/>
          <w:szCs w:val="21"/>
          <w:lang w:val="en-US" w:eastAsia="zh-CN"/>
        </w:rPr>
        <w:t>按照用途</w:t>
      </w:r>
      <w:r>
        <w:rPr>
          <w:rFonts w:hint="default" w:ascii="Times New Roman" w:hAnsi="Times New Roman" w:cs="Times New Roman"/>
          <w:szCs w:val="21"/>
        </w:rPr>
        <w:t>分为</w:t>
      </w:r>
      <w:r>
        <w:rPr>
          <w:rFonts w:hint="eastAsia" w:ascii="Times New Roman" w:hAnsi="Times New Roman" w:cs="Times New Roman"/>
          <w:szCs w:val="21"/>
          <w:lang w:val="en-US" w:eastAsia="zh-CN"/>
        </w:rPr>
        <w:t>三类：</w:t>
      </w:r>
    </w:p>
    <w:p>
      <w:pPr>
        <w:spacing w:line="360" w:lineRule="exact"/>
        <w:ind w:firstLine="420" w:firstLineChars="20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1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类：主要用于软磁铁氧体、硬磁铁氧体；</w:t>
      </w:r>
    </w:p>
    <w:p>
      <w:pPr>
        <w:spacing w:line="360" w:lineRule="exact"/>
        <w:ind w:firstLine="420" w:firstLineChars="20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2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抛光膏、脱硫剂、炼铁原料等</w:t>
      </w:r>
      <w:r>
        <w:rPr>
          <w:rFonts w:hint="default" w:ascii="Times New Roman" w:hAnsi="Times New Roman" w:cs="Times New Roman"/>
          <w:szCs w:val="21"/>
          <w:lang w:val="en-US" w:eastAsia="zh-CN"/>
        </w:rPr>
        <w:t>其他</w:t>
      </w:r>
      <w:r>
        <w:rPr>
          <w:rFonts w:hint="eastAsia" w:ascii="Times New Roman" w:hAnsi="Times New Roman" w:cs="Times New Roman"/>
          <w:szCs w:val="21"/>
          <w:lang w:val="en-US" w:eastAsia="zh-CN"/>
        </w:rPr>
        <w:t>工业</w:t>
      </w:r>
      <w:r>
        <w:rPr>
          <w:rFonts w:hint="default" w:ascii="Times New Roman" w:hAnsi="Times New Roman" w:cs="Times New Roman"/>
          <w:szCs w:val="21"/>
          <w:lang w:val="en-US" w:eastAsia="zh-CN"/>
        </w:rPr>
        <w:t>用途</w:t>
      </w:r>
      <w:r>
        <w:rPr>
          <w:rFonts w:hint="eastAsia" w:ascii="Times New Roman" w:hAnsi="Times New Roman" w:cs="Times New Roman"/>
          <w:szCs w:val="21"/>
          <w:lang w:val="en-US" w:eastAsia="zh-CN"/>
        </w:rPr>
        <w:t>；</w:t>
      </w:r>
    </w:p>
    <w:p>
      <w:pPr>
        <w:spacing w:line="360" w:lineRule="exact"/>
        <w:ind w:firstLine="420" w:firstLineChars="20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3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新能源电池三元前驱体用</w:t>
      </w:r>
      <w:r>
        <w:rPr>
          <w:rFonts w:hint="default" w:ascii="Times New Roman" w:hAnsi="Times New Roman" w:cs="Times New Roman"/>
          <w:szCs w:val="21"/>
          <w:lang w:val="en-US" w:eastAsia="zh-CN"/>
        </w:rPr>
        <w:t>铁源</w:t>
      </w:r>
      <w:r>
        <w:rPr>
          <w:rFonts w:hint="eastAsia" w:ascii="Times New Roman" w:hAnsi="Times New Roman" w:cs="Times New Roman"/>
          <w:szCs w:val="21"/>
          <w:lang w:val="en-US" w:eastAsia="zh-CN"/>
        </w:rPr>
        <w:t>。</w:t>
      </w:r>
    </w:p>
    <w:p>
      <w:pPr>
        <w:pStyle w:val="19"/>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eastAsia="宋体" w:cs="Times New Roman"/>
          <w:lang w:val="en-US" w:eastAsia="zh-CN"/>
        </w:rPr>
      </w:pPr>
      <w:r>
        <w:rPr>
          <w:rFonts w:hint="eastAsia"/>
          <w:color w:val="000000" w:themeColor="text1"/>
          <w:lang w:val="en-US" w:eastAsia="zh-CN"/>
          <w14:textFill>
            <w14:solidFill>
              <w14:schemeClr w14:val="tx1"/>
            </w14:solidFill>
          </w14:textFill>
        </w:rPr>
        <w:t>本次修订</w:t>
      </w: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1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2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产品指标没有变化，新增</w:t>
      </w: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3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产品类别，该类别规定用于新能源电池三元前驱体用铁源。</w:t>
      </w:r>
    </w:p>
    <w:p>
      <w:pPr>
        <w:pStyle w:val="19"/>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c）修改了产品外观（见6.1，2009年版的5.1）；</w:t>
      </w:r>
      <w:r>
        <w:rPr>
          <w:rFonts w:hint="eastAsia" w:ascii="Times New Roman" w:hAnsi="Times New Roman" w:cs="Times New Roman"/>
          <w:lang w:val="en-US" w:eastAsia="zh-CN"/>
        </w:rPr>
        <w:t>本次修订，在现有外观基础上增加了湿法生产的氧化铁产品，为黑色，且增加了流沙状的描述。</w:t>
      </w:r>
    </w:p>
    <w:p>
      <w:pPr>
        <w:pStyle w:val="19"/>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lang w:val="en-US" w:eastAsia="zh-CN"/>
        </w:rPr>
        <w:t>d）</w:t>
      </w:r>
      <w:r>
        <w:rPr>
          <w:rFonts w:hint="default" w:ascii="Times New Roman" w:hAnsi="Times New Roman" w:cs="Times New Roman"/>
        </w:rPr>
        <w:t>增加</w:t>
      </w:r>
      <w:r>
        <w:rPr>
          <w:rFonts w:hint="default" w:ascii="Times New Roman" w:hAnsi="Times New Roman" w:cs="Times New Roman"/>
          <w:lang w:val="en-US" w:eastAsia="zh-CN"/>
        </w:rPr>
        <w:t>了</w:t>
      </w:r>
      <w:r>
        <w:rPr>
          <w:rFonts w:hint="default" w:ascii="Times New Roman" w:hAnsi="Times New Roman" w:cs="Times New Roman"/>
        </w:rPr>
        <w:fldChar w:fldCharType="begin"/>
      </w:r>
      <w:r>
        <w:rPr>
          <w:rFonts w:hint="default" w:ascii="Times New Roman" w:hAnsi="Times New Roman" w:cs="Times New Roman"/>
        </w:rPr>
        <w:instrText xml:space="preserve"> = 3 \* ROMAN \* MERGEFORMAT </w:instrText>
      </w:r>
      <w:r>
        <w:rPr>
          <w:rFonts w:hint="default" w:ascii="Times New Roman" w:hAnsi="Times New Roman" w:cs="Times New Roman"/>
        </w:rPr>
        <w:fldChar w:fldCharType="separate"/>
      </w:r>
      <w:r>
        <w:rPr>
          <w:rFonts w:hint="default" w:ascii="Times New Roman" w:hAnsi="Times New Roman" w:cs="Times New Roman"/>
        </w:rPr>
        <w:t>III</w:t>
      </w:r>
      <w:r>
        <w:rPr>
          <w:rFonts w:hint="default" w:ascii="Times New Roman" w:hAnsi="Times New Roman" w:cs="Times New Roman"/>
        </w:rPr>
        <w:fldChar w:fldCharType="end"/>
      </w:r>
      <w:r>
        <w:rPr>
          <w:rFonts w:hint="default" w:ascii="Times New Roman" w:hAnsi="Times New Roman" w:cs="Times New Roman"/>
          <w:lang w:val="en-US" w:eastAsia="zh-CN"/>
        </w:rPr>
        <w:t>类产品</w:t>
      </w:r>
      <w:r>
        <w:rPr>
          <w:rFonts w:hint="default" w:ascii="Times New Roman" w:hAnsi="Times New Roman" w:cs="Times New Roman"/>
        </w:rPr>
        <w:t>指标</w:t>
      </w:r>
      <w:r>
        <w:rPr>
          <w:rFonts w:hint="default" w:ascii="Times New Roman" w:hAnsi="Times New Roman" w:cs="Times New Roman"/>
          <w:szCs w:val="21"/>
          <w:lang w:val="en-US" w:eastAsia="zh-CN"/>
        </w:rPr>
        <w:t>（见6.3）</w:t>
      </w:r>
      <w:r>
        <w:rPr>
          <w:rFonts w:hint="default" w:ascii="Times New Roman" w:hAnsi="Times New Roman" w:cs="Times New Roman"/>
        </w:rPr>
        <w:t>；</w:t>
      </w:r>
    </w:p>
    <w:p>
      <w:pPr>
        <w:pStyle w:val="19"/>
        <w:spacing w:line="360" w:lineRule="exact"/>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本次修订除原有检测方法的调整外，最大的变化就是增加了不锈钢酸洗废液喷雾焙烧或流化床焙烧产生的富含镍、铬、锰氧化物的氧化铁产品，该产品目前用来作为新能源电池正极用途的三元前驱体，是不可或缺的铁、镍、锰源。</w:t>
      </w:r>
    </w:p>
    <w:p>
      <w:pPr>
        <w:spacing w:line="360" w:lineRule="atLeast"/>
        <w:ind w:firstLine="420" w:firstLineChars="200"/>
        <w:jc w:val="left"/>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不锈钢在机械加工过程中表面会形成一层致密氧化膜，其主要成分为氧化铬、氧化镍以及难溶的氧化铁铬等。为了提高不锈钢的外观和耐腐蚀性，加工后的不锈钢需要通过酸洗、钝化等表面处理来彻底清除这层氧化膜。酸洗过程通常先采用硫酸对表面的氧化铁皮进行预酸洗，然后用质量浓度为90～160ｇ/Ｌ的硝酸和50～60ｇ/Ｌ的氢氟酸混酸进行酸洗。通过硝酸、氢氟酸对钢材表面的氧化物进行溶解、还原和机械剥离，最终使得不锈钢表面呈现光洁、耐腐蚀的状态，为进一步深加工做好准备。随着酸洗液的多次循环使用，酸洗效果逐渐下降，酸洗液中游离的硝酸和氢氟酸越来越少，反应生成的金属离子越来越多。当酸洗液中金属离子的质量浓度达到50～60ｇ/Ｌ时，金属盐将从酸洗液中结晶析出，此时须更换新的酸洗液。</w:t>
      </w:r>
      <w:r>
        <w:rPr>
          <w:rFonts w:hint="eastAsia" w:ascii="Times New Roman" w:hAnsi="Times New Roman" w:eastAsia="宋体" w:cs="Times New Roman"/>
          <w:color w:val="000000" w:themeColor="text1"/>
          <w:szCs w:val="21"/>
          <w:lang w:val="en-US" w:eastAsia="zh-CN"/>
          <w14:textFill>
            <w14:solidFill>
              <w14:schemeClr w14:val="tx1"/>
            </w14:solidFill>
          </w14:textFill>
        </w:rPr>
        <w:t>该酸洗废液经过浓缩后喷雾焙烧或流化床焙烧，形成富镍氧化铁产品。鉴于本部分高附加值产品，</w:t>
      </w:r>
      <w:r>
        <w:rPr>
          <w:rFonts w:hint="eastAsia" w:ascii="Times New Roman" w:hAnsi="Times New Roman" w:cs="Times New Roman"/>
          <w:color w:val="000000" w:themeColor="text1"/>
          <w:szCs w:val="21"/>
          <w:lang w:val="en-US" w:eastAsia="zh-CN"/>
          <w14:textFill>
            <w14:solidFill>
              <w14:schemeClr w14:val="tx1"/>
            </w14:solidFill>
          </w14:textFill>
        </w:rPr>
        <w:t>且产生的均为上述铁、镍、铬、锰的氧化物，是制备新能源电池的不可多得的原材料，所以，标准中单独设置工业氧化铁</w:t>
      </w: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3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新能源电池三元前驱体用</w:t>
      </w:r>
      <w:r>
        <w:rPr>
          <w:rFonts w:hint="default" w:ascii="Times New Roman" w:hAnsi="Times New Roman" w:cs="Times New Roman"/>
          <w:szCs w:val="21"/>
          <w:lang w:val="en-US" w:eastAsia="zh-CN"/>
        </w:rPr>
        <w:t>铁源</w:t>
      </w:r>
      <w:r>
        <w:rPr>
          <w:rFonts w:hint="eastAsia" w:ascii="Times New Roman" w:hAnsi="Times New Roman" w:cs="Times New Roman"/>
          <w:szCs w:val="21"/>
          <w:lang w:val="en-US" w:eastAsia="zh-CN"/>
        </w:rPr>
        <w:t>产品。</w:t>
      </w:r>
    </w:p>
    <w:p>
      <w:pPr>
        <w:adjustRightInd w:val="0"/>
        <w:snapToGrid w:val="0"/>
        <w:spacing w:line="360" w:lineRule="exact"/>
        <w:ind w:firstLine="420" w:firstLineChars="200"/>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新增类别的指标见表1：</w:t>
      </w:r>
    </w:p>
    <w:p>
      <w:pPr>
        <w:adjustRightInd w:val="0"/>
        <w:snapToGrid w:val="0"/>
        <w:spacing w:line="360" w:lineRule="exact"/>
        <w:ind w:firstLine="420" w:firstLineChars="200"/>
        <w:jc w:val="center"/>
        <w:rPr>
          <w:rFonts w:ascii="宋体" w:hAnsi="宋体" w:eastAsia="宋体"/>
        </w:rPr>
      </w:pPr>
      <w:r>
        <w:rPr>
          <w:rFonts w:ascii="宋体" w:hAnsi="宋体" w:eastAsia="宋体"/>
        </w:rPr>
        <w:t>表</w:t>
      </w:r>
      <w:r>
        <w:rPr>
          <w:rFonts w:hint="eastAsia" w:ascii="Times New Roman" w:eastAsia="宋体"/>
          <w:lang w:val="en-US" w:eastAsia="zh-CN"/>
        </w:rPr>
        <w:t>1</w:t>
      </w:r>
    </w:p>
    <w:tbl>
      <w:tblPr>
        <w:tblStyle w:val="10"/>
        <w:tblW w:w="500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441"/>
        <w:gridCol w:w="650"/>
        <w:gridCol w:w="62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trPr>
        <w:tc>
          <w:tcPr>
            <w:tcW w:w="1983" w:type="pct"/>
            <w:gridSpan w:val="2"/>
            <w:vMerge w:val="restart"/>
            <w:noWrap w:val="0"/>
            <w:vAlign w:val="center"/>
          </w:tcPr>
          <w:p>
            <w:pPr>
              <w:spacing w:line="300" w:lineRule="auto"/>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项  目</w:t>
            </w:r>
          </w:p>
        </w:tc>
        <w:tc>
          <w:tcPr>
            <w:tcW w:w="3016"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指  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1983" w:type="pct"/>
            <w:gridSpan w:val="2"/>
            <w:vMerge w:val="continue"/>
            <w:noWrap w:val="0"/>
            <w:vAlign w:val="top"/>
          </w:tcPr>
          <w:p>
            <w:pPr>
              <w:spacing w:line="300" w:lineRule="auto"/>
              <w:rPr>
                <w:rFonts w:hint="default" w:ascii="Times New Roman" w:hAnsi="Times New Roman" w:eastAsia="黑体" w:cs="Times New Roman"/>
                <w:kern w:val="0"/>
                <w:sz w:val="18"/>
                <w:szCs w:val="18"/>
              </w:rPr>
            </w:pPr>
          </w:p>
        </w:tc>
        <w:tc>
          <w:tcPr>
            <w:tcW w:w="3016"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3 \* ROMAN \* MERGEFORMAT </w:instrText>
            </w:r>
            <w:r>
              <w:rPr>
                <w:rFonts w:hint="default" w:ascii="Times New Roman" w:hAnsi="Times New Roman" w:cs="Times New Roman"/>
                <w:sz w:val="18"/>
                <w:szCs w:val="18"/>
                <w:lang w:val="en-US" w:eastAsia="zh-CN"/>
              </w:rPr>
              <w:fldChar w:fldCharType="separate"/>
            </w:r>
            <w:r>
              <w:rPr>
                <w:rFonts w:hint="default" w:ascii="Times New Roman" w:hAnsi="Times New Roman" w:cs="Times New Roman"/>
                <w:sz w:val="18"/>
                <w:szCs w:val="18"/>
              </w:rPr>
              <w:t>III</w:t>
            </w:r>
            <w:r>
              <w:rPr>
                <w:rFonts w:hint="default" w:ascii="Times New Roman" w:hAnsi="Times New Roman" w:cs="Times New Roman"/>
                <w:sz w:val="18"/>
                <w:szCs w:val="18"/>
                <w:lang w:val="en-US" w:eastAsia="zh-CN"/>
              </w:rPr>
              <w:fldChar w:fldCharType="end"/>
            </w:r>
            <w:r>
              <w:rPr>
                <w:rFonts w:hint="default" w:ascii="Times New Roman" w:hAnsi="Times New Roman" w:cs="Times New Roman"/>
                <w:sz w:val="18"/>
                <w:szCs w:val="18"/>
                <w:lang w:val="en-US" w:eastAsia="zh-CN"/>
              </w:rPr>
              <w:t>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rPr>
                <w:rFonts w:hint="default" w:ascii="Times New Roman" w:hAnsi="Times New Roman" w:eastAsia="黑体" w:cs="Times New Roman"/>
                <w:kern w:val="0"/>
                <w:sz w:val="18"/>
                <w:szCs w:val="18"/>
                <w:lang w:val="en-US" w:eastAsia="zh-CN"/>
              </w:rPr>
            </w:pPr>
            <w:r>
              <w:rPr>
                <w:rFonts w:hint="eastAsia" w:ascii="Times New Roman" w:hAnsi="Times New Roman" w:cs="Times New Roman"/>
                <w:sz w:val="18"/>
                <w:szCs w:val="18"/>
                <w:lang w:val="en-US" w:eastAsia="zh-CN"/>
              </w:rPr>
              <w:t>主含量</w:t>
            </w:r>
            <w:r>
              <w:rPr>
                <w:rFonts w:hint="default" w:ascii="Times New Roman" w:hAnsi="Times New Roman" w:cs="Times New Roman"/>
                <w:sz w:val="18"/>
                <w:szCs w:val="18"/>
                <w:lang w:val="en-US" w:eastAsia="zh-CN"/>
              </w:rPr>
              <w:t>（</w:t>
            </w:r>
            <w:r>
              <w:rPr>
                <w:rFonts w:hint="eastAsia" w:ascii="Times New Roman" w:hAnsi="Times New Roman" w:cs="Times New Roman"/>
                <w:sz w:val="18"/>
                <w:szCs w:val="18"/>
                <w:lang w:val="en-US" w:eastAsia="zh-CN"/>
              </w:rPr>
              <w:t>以</w:t>
            </w:r>
            <w:r>
              <w:rPr>
                <w:rFonts w:hint="default" w:ascii="Times New Roman" w:hAnsi="Times New Roman" w:cs="Times New Roman"/>
                <w:sz w:val="18"/>
                <w:szCs w:val="18"/>
                <w:lang w:val="en-US" w:eastAsia="zh-CN"/>
              </w:rPr>
              <w:t>Fe</w:t>
            </w:r>
            <w:r>
              <w:rPr>
                <w:rFonts w:hint="default" w:ascii="Times New Roman" w:hAnsi="Times New Roman" w:cs="Times New Roman"/>
                <w:sz w:val="18"/>
                <w:szCs w:val="18"/>
                <w:vertAlign w:val="subscript"/>
                <w:lang w:val="en-US" w:eastAsia="zh-CN"/>
              </w:rPr>
              <w:t>2</w:t>
            </w:r>
            <w:r>
              <w:rPr>
                <w:rFonts w:hint="default" w:ascii="Times New Roman" w:hAnsi="Times New Roman" w:cs="Times New Roman"/>
                <w:sz w:val="18"/>
                <w:szCs w:val="18"/>
              </w:rPr>
              <w:t>O</w:t>
            </w:r>
            <w:r>
              <w:rPr>
                <w:rFonts w:hint="default" w:ascii="Times New Roman" w:hAnsi="Times New Roman" w:cs="Times New Roman"/>
                <w:sz w:val="18"/>
                <w:szCs w:val="18"/>
                <w:vertAlign w:val="subscript"/>
                <w:lang w:val="en-US" w:eastAsia="zh-CN"/>
              </w:rPr>
              <w:t>3</w:t>
            </w:r>
            <w:r>
              <w:rPr>
                <w:rFonts w:hint="eastAsia" w:ascii="Times New Roman" w:hAnsi="Times New Roman" w:cs="Times New Roman"/>
                <w:sz w:val="18"/>
                <w:szCs w:val="18"/>
                <w:vertAlign w:val="baseline"/>
                <w:lang w:val="en-US" w:eastAsia="zh-CN"/>
              </w:rPr>
              <w:t>计</w:t>
            </w:r>
            <w:r>
              <w:rPr>
                <w:rFonts w:hint="default" w:ascii="Times New Roman" w:hAnsi="Times New Roman" w:cs="Times New Roman"/>
                <w:sz w:val="18"/>
                <w:szCs w:val="18"/>
                <w:lang w:val="en-US" w:eastAsia="zh-CN"/>
              </w:rPr>
              <w:t>）</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rPr>
            </w:pPr>
            <w:r>
              <w:rPr>
                <w:rFonts w:hint="eastAsia" w:ascii="宋体" w:hAnsi="宋体" w:eastAsia="宋体" w:cs="宋体"/>
                <w:sz w:val="18"/>
                <w:szCs w:val="18"/>
              </w:rPr>
              <w:t>≥</w:t>
            </w:r>
          </w:p>
        </w:tc>
        <w:tc>
          <w:tcPr>
            <w:tcW w:w="301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lang w:val="en-US" w:eastAsia="zh-CN"/>
              </w:rPr>
            </w:pPr>
            <w:r>
              <w:rPr>
                <w:rFonts w:hint="eastAsia" w:eastAsia="黑体" w:cs="Times New Roman"/>
                <w:kern w:val="0"/>
                <w:sz w:val="18"/>
                <w:szCs w:val="18"/>
                <w:lang w:val="en-US" w:eastAsia="zh-CN"/>
              </w:rPr>
              <w:t>65</w:t>
            </w:r>
            <w:r>
              <w:rPr>
                <w:rFonts w:hint="default" w:ascii="Times New Roman" w:hAnsi="Times New Roman" w:eastAsia="黑体" w:cs="Times New Roman"/>
                <w:kern w:val="0"/>
                <w:sz w:val="18"/>
                <w:szCs w:val="18"/>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firstLineChars="0"/>
              <w:rPr>
                <w:rFonts w:hint="eastAsia" w:ascii="Times New Roman" w:hAnsi="Times New Roman" w:eastAsia="宋体" w:cs="Times New Roman"/>
                <w:kern w:val="2"/>
                <w:sz w:val="18"/>
                <w:szCs w:val="18"/>
                <w:lang w:val="en-US" w:eastAsia="zh-CN" w:bidi="ar-SA"/>
              </w:rPr>
            </w:pPr>
            <w:r>
              <w:rPr>
                <w:rFonts w:hint="eastAsia" w:ascii="Times New Roman" w:hAnsi="Times New Roman" w:cs="Times New Roman"/>
                <w:sz w:val="18"/>
                <w:szCs w:val="18"/>
                <w:lang w:val="en-US" w:eastAsia="zh-CN"/>
              </w:rPr>
              <w:t>铬</w:t>
            </w:r>
            <w:r>
              <w:rPr>
                <w:rFonts w:hint="default" w:ascii="Times New Roman" w:hAnsi="Times New Roman" w:cs="Times New Roman"/>
                <w:color w:val="000000"/>
                <w:sz w:val="18"/>
                <w:szCs w:val="18"/>
              </w:rPr>
              <w:t>（</w:t>
            </w:r>
            <w:r>
              <w:rPr>
                <w:rFonts w:hint="eastAsia" w:ascii="Times New Roman" w:hAnsi="Times New Roman" w:cs="Times New Roman"/>
                <w:color w:val="000000"/>
                <w:sz w:val="18"/>
                <w:szCs w:val="18"/>
                <w:lang w:val="en-US" w:eastAsia="zh-CN"/>
              </w:rPr>
              <w:t>以</w:t>
            </w:r>
            <w:r>
              <w:rPr>
                <w:rFonts w:hint="eastAsia" w:ascii="Times New Roman" w:hAnsi="Times New Roman" w:cs="Times New Roman"/>
                <w:sz w:val="18"/>
                <w:szCs w:val="18"/>
                <w:lang w:val="en-US" w:eastAsia="zh-CN"/>
              </w:rPr>
              <w:t>Cr</w:t>
            </w:r>
            <w:r>
              <w:rPr>
                <w:rFonts w:hint="eastAsia" w:ascii="Times New Roman" w:hAnsi="Times New Roman" w:cs="Times New Roman"/>
                <w:sz w:val="18"/>
                <w:szCs w:val="18"/>
                <w:vertAlign w:val="subscript"/>
                <w:lang w:val="en-US" w:eastAsia="zh-CN"/>
              </w:rPr>
              <w:t>2</w:t>
            </w:r>
            <w:r>
              <w:rPr>
                <w:rFonts w:hint="default" w:ascii="Times New Roman" w:hAnsi="Times New Roman" w:cs="Times New Roman"/>
                <w:sz w:val="18"/>
                <w:szCs w:val="18"/>
              </w:rPr>
              <w:t>O</w:t>
            </w:r>
            <w:r>
              <w:rPr>
                <w:rFonts w:hint="eastAsia" w:ascii="Times New Roman" w:hAnsi="Times New Roman" w:cs="Times New Roman"/>
                <w:sz w:val="18"/>
                <w:szCs w:val="18"/>
                <w:vertAlign w:val="subscript"/>
                <w:lang w:val="en-US" w:eastAsia="zh-CN"/>
              </w:rPr>
              <w:t>3</w:t>
            </w:r>
            <w:r>
              <w:rPr>
                <w:rFonts w:hint="eastAsia" w:ascii="Times New Roman" w:hAnsi="Times New Roman" w:cs="Times New Roman"/>
                <w:sz w:val="18"/>
                <w:szCs w:val="18"/>
                <w:vertAlign w:val="baseline"/>
                <w:lang w:val="en-US" w:eastAsia="zh-CN"/>
              </w:rPr>
              <w:t>计</w:t>
            </w:r>
            <w:r>
              <w:rPr>
                <w:rFonts w:hint="default" w:ascii="Times New Roman" w:hAnsi="Times New Roman" w:cs="Times New Roman"/>
                <w:color w:val="000000"/>
                <w:sz w:val="18"/>
                <w:szCs w:val="18"/>
              </w:rPr>
              <w:t>）</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lang w:val="en-US" w:eastAsia="zh-CN"/>
              </w:rPr>
            </w:pPr>
          </w:p>
        </w:tc>
        <w:tc>
          <w:tcPr>
            <w:tcW w:w="301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lang w:val="en-US" w:eastAsia="zh-CN"/>
              </w:rPr>
            </w:pPr>
            <w:r>
              <w:rPr>
                <w:rFonts w:hint="default" w:ascii="Times New Roman" w:hAnsi="Times New Roman" w:eastAsia="宋体" w:cs="Times New Roman"/>
                <w:sz w:val="18"/>
                <w:szCs w:val="18"/>
                <w:lang w:val="en-US" w:eastAsia="zh-CN"/>
              </w:rPr>
              <w:t>10</w:t>
            </w:r>
            <w:r>
              <w:rPr>
                <w:rFonts w:hint="eastAsia" w:ascii="Times New Roman" w:hAnsi="Times New Roman" w:eastAsia="宋体" w:cs="Times New Roman"/>
                <w:sz w:val="18"/>
                <w:szCs w:val="18"/>
                <w:lang w:val="en-US" w:eastAsia="zh-CN"/>
              </w:rPr>
              <w:t xml:space="preserve"> .0</w:t>
            </w:r>
            <w:r>
              <w:rPr>
                <w:rFonts w:hint="default" w:ascii="Times New Roman" w:hAnsi="Times New Roman" w:eastAsia="宋体" w:cs="Times New Roman"/>
                <w:sz w:val="18"/>
                <w:szCs w:val="18"/>
                <w:lang w:val="en-US" w:eastAsia="zh-CN"/>
              </w:rPr>
              <w:t>～20</w:t>
            </w:r>
            <w:r>
              <w:rPr>
                <w:rFonts w:hint="eastAsia" w:ascii="Times New Roman" w:hAnsi="Times New Roman" w:eastAsia="宋体" w:cs="Times New Roman"/>
                <w:sz w:val="18"/>
                <w:szCs w:val="18"/>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镍</w:t>
            </w:r>
            <w:r>
              <w:rPr>
                <w:rFonts w:hint="default" w:ascii="Times New Roman" w:hAnsi="Times New Roman" w:cs="Times New Roman"/>
                <w:sz w:val="18"/>
                <w:szCs w:val="18"/>
              </w:rPr>
              <w:t>（</w:t>
            </w:r>
            <w:r>
              <w:rPr>
                <w:rFonts w:hint="eastAsia" w:ascii="Times New Roman" w:hAnsi="Times New Roman" w:cs="Times New Roman"/>
                <w:color w:val="000000"/>
                <w:sz w:val="18"/>
                <w:szCs w:val="18"/>
                <w:lang w:val="en-US" w:eastAsia="zh-CN"/>
              </w:rPr>
              <w:t>以</w:t>
            </w:r>
            <w:r>
              <w:rPr>
                <w:rFonts w:hint="eastAsia" w:ascii="Times New Roman" w:hAnsi="Times New Roman" w:cs="Times New Roman"/>
                <w:sz w:val="18"/>
                <w:szCs w:val="18"/>
                <w:lang w:val="en-US" w:eastAsia="zh-CN"/>
              </w:rPr>
              <w:t>Ni</w:t>
            </w:r>
            <w:r>
              <w:rPr>
                <w:rFonts w:hint="default" w:ascii="Times New Roman" w:hAnsi="Times New Roman" w:cs="Times New Roman"/>
                <w:sz w:val="18"/>
                <w:szCs w:val="18"/>
              </w:rPr>
              <w:t>O</w:t>
            </w:r>
            <w:r>
              <w:rPr>
                <w:rFonts w:hint="eastAsia" w:ascii="Times New Roman" w:hAnsi="Times New Roman" w:cs="Times New Roman"/>
                <w:sz w:val="18"/>
                <w:szCs w:val="18"/>
                <w:vertAlign w:val="baseline"/>
                <w:lang w:val="en-US" w:eastAsia="zh-CN"/>
              </w:rPr>
              <w:t>计</w:t>
            </w:r>
            <w:r>
              <w:rPr>
                <w:rFonts w:hint="default" w:ascii="Times New Roman" w:hAnsi="Times New Roman" w:cs="Times New Roman"/>
                <w:sz w:val="18"/>
                <w:szCs w:val="18"/>
              </w:rPr>
              <w:t>）</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rPr>
            </w:pPr>
            <w:r>
              <w:rPr>
                <w:rFonts w:hint="eastAsia" w:ascii="宋体" w:hAnsi="宋体" w:eastAsia="宋体" w:cs="宋体"/>
                <w:sz w:val="18"/>
                <w:szCs w:val="18"/>
              </w:rPr>
              <w:t>≥</w:t>
            </w:r>
          </w:p>
        </w:tc>
        <w:tc>
          <w:tcPr>
            <w:tcW w:w="301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lang w:val="en-US" w:eastAsia="zh-CN"/>
              </w:rPr>
            </w:pPr>
            <w:r>
              <w:rPr>
                <w:rFonts w:hint="eastAsia" w:ascii="Times New Roman" w:hAnsi="Times New Roman" w:eastAsia="黑体" w:cs="Times New Roman"/>
                <w:kern w:val="0"/>
                <w:sz w:val="18"/>
                <w:szCs w:val="18"/>
                <w:lang w:val="en-US" w:eastAsia="zh-CN"/>
              </w:rPr>
              <w:t xml:space="preserve">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锰（</w:t>
            </w:r>
            <w:r>
              <w:rPr>
                <w:rFonts w:hint="eastAsia" w:ascii="Times New Roman" w:hAnsi="Times New Roman" w:cs="Times New Roman"/>
                <w:color w:val="000000"/>
                <w:sz w:val="18"/>
                <w:szCs w:val="18"/>
                <w:lang w:val="en-US" w:eastAsia="zh-CN"/>
              </w:rPr>
              <w:t>以</w:t>
            </w:r>
            <w:r>
              <w:rPr>
                <w:rFonts w:hint="eastAsia" w:ascii="Times New Roman" w:hAnsi="Times New Roman" w:cs="Times New Roman"/>
                <w:sz w:val="18"/>
                <w:szCs w:val="18"/>
                <w:lang w:val="en-US" w:eastAsia="zh-CN"/>
              </w:rPr>
              <w:t>MnO</w:t>
            </w:r>
            <w:r>
              <w:rPr>
                <w:rFonts w:hint="eastAsia" w:ascii="Times New Roman" w:hAnsi="Times New Roman" w:cs="Times New Roman"/>
                <w:sz w:val="18"/>
                <w:szCs w:val="18"/>
                <w:vertAlign w:val="baseline"/>
                <w:lang w:val="en-US" w:eastAsia="zh-CN"/>
              </w:rPr>
              <w:t>计</w:t>
            </w:r>
            <w:r>
              <w:rPr>
                <w:rFonts w:hint="eastAsia" w:ascii="Times New Roman" w:hAnsi="Times New Roman" w:cs="Times New Roman"/>
                <w:sz w:val="18"/>
                <w:szCs w:val="18"/>
                <w:lang w:val="en-US" w:eastAsia="zh-CN"/>
              </w:rPr>
              <w:t>）</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rPr>
            </w:pPr>
            <w:r>
              <w:rPr>
                <w:rFonts w:hint="eastAsia" w:ascii="宋体" w:hAnsi="宋体" w:eastAsia="宋体" w:cs="宋体"/>
                <w:sz w:val="18"/>
                <w:szCs w:val="18"/>
              </w:rPr>
              <w:t>≥</w:t>
            </w:r>
          </w:p>
        </w:tc>
        <w:tc>
          <w:tcPr>
            <w:tcW w:w="3016" w:type="pct"/>
            <w:tcBorders>
              <w:left w:val="single" w:color="auto" w:sz="4" w:space="0"/>
            </w:tcBorders>
            <w:noWrap w:val="0"/>
            <w:vAlign w:val="center"/>
          </w:tcPr>
          <w:p>
            <w:pPr>
              <w:spacing w:line="300" w:lineRule="auto"/>
              <w:jc w:val="center"/>
              <w:rPr>
                <w:rFonts w:hint="eastAsia" w:ascii="Times New Roman" w:hAnsi="Times New Roman" w:eastAsia="黑体" w:cs="Times New Roman"/>
                <w:kern w:val="0"/>
                <w:sz w:val="18"/>
                <w:szCs w:val="18"/>
                <w:lang w:val="en-US" w:eastAsia="zh-CN"/>
              </w:rPr>
            </w:pPr>
            <w:r>
              <w:rPr>
                <w:rFonts w:hint="eastAsia" w:ascii="Times New Roman" w:hAnsi="Times New Roman" w:eastAsia="黑体" w:cs="Times New Roman"/>
                <w:kern w:val="0"/>
                <w:sz w:val="18"/>
                <w:szCs w:val="18"/>
                <w:lang w:val="en-US" w:eastAsia="zh-CN"/>
              </w:rPr>
              <w:t xml:space="preserve">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firstLineChars="0"/>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sz w:val="18"/>
                <w:szCs w:val="18"/>
                <w:lang w:val="en-US" w:eastAsia="zh-CN"/>
              </w:rPr>
              <w:t>氟</w:t>
            </w:r>
            <w:r>
              <w:rPr>
                <w:rFonts w:hint="default" w:ascii="Times New Roman" w:hAnsi="Times New Roman" w:cs="Times New Roman"/>
                <w:sz w:val="18"/>
                <w:szCs w:val="18"/>
              </w:rPr>
              <w:t>（以</w:t>
            </w:r>
            <w:r>
              <w:rPr>
                <w:rFonts w:hint="eastAsia" w:ascii="Times New Roman" w:hAnsi="Times New Roman" w:cs="Times New Roman"/>
                <w:sz w:val="18"/>
                <w:szCs w:val="18"/>
                <w:lang w:val="en-US" w:eastAsia="zh-CN"/>
              </w:rPr>
              <w:t>F</w:t>
            </w:r>
            <w:r>
              <w:rPr>
                <w:rFonts w:hint="default" w:ascii="Times New Roman" w:hAnsi="Times New Roman" w:cs="Times New Roman"/>
                <w:sz w:val="18"/>
                <w:szCs w:val="18"/>
              </w:rPr>
              <w:t>计）</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lang w:val="en-US" w:eastAsia="zh-CN"/>
              </w:rPr>
            </w:pPr>
            <w:r>
              <w:rPr>
                <w:rFonts w:hint="eastAsia" w:ascii="宋体" w:hAnsi="宋体" w:eastAsia="宋体" w:cs="宋体"/>
                <w:sz w:val="18"/>
                <w:szCs w:val="18"/>
              </w:rPr>
              <w:t>≤</w:t>
            </w:r>
          </w:p>
        </w:tc>
        <w:tc>
          <w:tcPr>
            <w:tcW w:w="301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lang w:val="en-US" w:eastAsia="zh-CN" w:bidi="ar-SA"/>
              </w:rPr>
            </w:pPr>
            <w:r>
              <w:rPr>
                <w:rFonts w:hint="eastAsia" w:ascii="Times New Roman" w:hAnsi="Times New Roman" w:cs="Times New Roman"/>
                <w:kern w:val="0"/>
                <w:sz w:val="18"/>
                <w:szCs w:val="18"/>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firstLineChars="0"/>
              <w:rPr>
                <w:rFonts w:hint="default" w:ascii="Times New Roman" w:hAnsi="Times New Roman" w:eastAsia="黑体" w:cs="Times New Roman"/>
                <w:kern w:val="0"/>
                <w:sz w:val="18"/>
                <w:szCs w:val="18"/>
                <w:lang w:val="en-US" w:eastAsia="zh-CN" w:bidi="ar-SA"/>
              </w:rPr>
            </w:pPr>
            <w:r>
              <w:rPr>
                <w:rFonts w:hint="default" w:ascii="Times New Roman" w:hAnsi="Times New Roman" w:cs="Times New Roman"/>
                <w:sz w:val="18"/>
                <w:szCs w:val="18"/>
              </w:rPr>
              <w:t xml:space="preserve">干燥减量 </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lang w:val="en-US" w:eastAsia="zh-CN"/>
              </w:rPr>
            </w:pPr>
            <w:r>
              <w:rPr>
                <w:rFonts w:hint="eastAsia" w:ascii="宋体" w:hAnsi="宋体" w:eastAsia="宋体" w:cs="宋体"/>
                <w:sz w:val="18"/>
                <w:szCs w:val="18"/>
              </w:rPr>
              <w:t>≤</w:t>
            </w:r>
          </w:p>
        </w:tc>
        <w:tc>
          <w:tcPr>
            <w:tcW w:w="3016"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lang w:val="en-US" w:eastAsia="zh-CN" w:bidi="ar-SA"/>
              </w:rPr>
            </w:pPr>
            <w:r>
              <w:rPr>
                <w:rFonts w:hint="eastAsia" w:ascii="Times New Roman" w:hAnsi="Times New Roman" w:eastAsia="黑体" w:cs="Times New Roman"/>
                <w:kern w:val="0"/>
                <w:sz w:val="18"/>
                <w:szCs w:val="18"/>
                <w:lang w:val="en-US" w:eastAsia="zh-CN" w:bidi="ar-SA"/>
              </w:rPr>
              <w:t>1.0</w:t>
            </w:r>
          </w:p>
        </w:tc>
      </w:tr>
    </w:tbl>
    <w:p>
      <w:pPr>
        <w:autoSpaceDE w:val="0"/>
        <w:autoSpaceDN w:val="0"/>
        <w:adjustRightInd w:val="0"/>
        <w:spacing w:before="156" w:beforeLines="50" w:after="156" w:afterLines="50" w:line="360" w:lineRule="exact"/>
        <w:ind w:firstLine="420" w:firstLineChars="200"/>
        <w:rPr>
          <w:rFonts w:hint="eastAsia" w:ascii="Times New Roman" w:hAnsi="Times New Roman" w:cs="Times New Roman"/>
          <w:szCs w:val="21"/>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3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产品主要设置铁含量、铬含量、镍含量、锰含量指标，上述指标均以氧化物计；在不锈钢酸洗过程中使用盐酸、硝酸、氢氟酸等，盐酸、硝酸均在加热过程中挥发或者转化为氮氧化物去除，氢氟酸或者氟离子在富氧焙烧的过程中不易去除，在产品指标中规定了氟含量，以防止过多的氟进入到下游生产过程中。</w:t>
      </w:r>
    </w:p>
    <w:p>
      <w:pPr>
        <w:autoSpaceDE w:val="0"/>
        <w:autoSpaceDN w:val="0"/>
        <w:adjustRightInd w:val="0"/>
        <w:spacing w:before="156" w:beforeLines="50" w:after="156" w:afterLines="50" w:line="360" w:lineRule="exact"/>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e）增加了硫酸盐含量测定的目视比浊法（见7.6.2）；</w:t>
      </w:r>
      <w:r>
        <w:rPr>
          <w:rFonts w:hint="eastAsia" w:ascii="Times New Roman" w:hAnsi="Times New Roman" w:cs="Times New Roman"/>
          <w:lang w:val="en-US" w:eastAsia="zh-CN"/>
        </w:rPr>
        <w:t>硫酸盐测定方法在现有重量法的基础上增加了目视比浊法。重量法相对来说更复杂，时间更长，增加目视比浊法，可以使企业更好更快的检测产品质量。在标准中以重量法为仲裁。</w:t>
      </w:r>
    </w:p>
    <w:p>
      <w:pPr>
        <w:pStyle w:val="19"/>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eastAsia="宋体" w:cs="Times New Roman"/>
          <w:lang w:val="en-US" w:eastAsia="zh-CN"/>
        </w:rPr>
      </w:pPr>
      <w:r>
        <w:rPr>
          <w:rFonts w:hint="default" w:ascii="Times New Roman" w:hAnsi="Times New Roman" w:cs="Times New Roman"/>
          <w:lang w:val="en-US" w:eastAsia="zh-CN"/>
        </w:rPr>
        <w:t>f）修改了氯化物测定方法</w:t>
      </w:r>
      <w:r>
        <w:rPr>
          <w:rFonts w:hint="default" w:ascii="Times New Roman" w:hAnsi="Times New Roman" w:cs="Times New Roman"/>
          <w:szCs w:val="21"/>
          <w:lang w:val="en-US" w:eastAsia="zh-CN"/>
        </w:rPr>
        <w:t>（见7.7，2009年版的6.9）</w:t>
      </w:r>
      <w:r>
        <w:rPr>
          <w:rFonts w:hint="eastAsia" w:ascii="Times New Roman" w:hAnsi="Times New Roman" w:cs="Times New Roman"/>
          <w:lang w:eastAsia="zh-CN"/>
        </w:rPr>
        <w:t>。</w:t>
      </w:r>
      <w:r>
        <w:rPr>
          <w:rFonts w:hint="eastAsia" w:ascii="Times New Roman" w:hAnsi="Times New Roman" w:cs="Times New Roman"/>
          <w:lang w:val="en-US" w:eastAsia="zh-CN"/>
        </w:rPr>
        <w:t>具体见试验方法部分。</w:t>
      </w:r>
    </w:p>
    <w:p>
      <w:pPr>
        <w:pStyle w:val="19"/>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g）增加了铬、硅、铝、镍、锰、氟含量测定方法（见7.8、7.9、7.10）</w:t>
      </w:r>
      <w:r>
        <w:rPr>
          <w:rFonts w:hint="eastAsia" w:ascii="Times New Roman" w:hAnsi="Times New Roman" w:cs="Times New Roman"/>
          <w:lang w:val="en-US" w:eastAsia="zh-CN"/>
        </w:rPr>
        <w:t>，具体见试验方法部分</w:t>
      </w:r>
      <w:r>
        <w:rPr>
          <w:rFonts w:hint="default" w:ascii="Times New Roman" w:hAnsi="Times New Roman" w:cs="Times New Roman"/>
          <w:lang w:val="en-US" w:eastAsia="zh-CN"/>
        </w:rPr>
        <w:t>。</w:t>
      </w:r>
    </w:p>
    <w:p>
      <w:pPr>
        <w:autoSpaceDE w:val="0"/>
        <w:autoSpaceDN w:val="0"/>
        <w:adjustRightInd w:val="0"/>
        <w:spacing w:before="156" w:beforeLines="50" w:after="156" w:afterLines="50" w:line="360" w:lineRule="exact"/>
        <w:rPr>
          <w:rFonts w:ascii="黑体" w:eastAsia="黑体"/>
          <w:color w:val="000000"/>
          <w:kern w:val="0"/>
          <w:szCs w:val="21"/>
        </w:rPr>
      </w:pPr>
      <w:r>
        <w:rPr>
          <w:rFonts w:hint="eastAsia" w:ascii="黑体" w:eastAsia="黑体"/>
          <w:color w:val="000000" w:themeColor="text1"/>
          <w:kern w:val="0"/>
          <w:szCs w:val="21"/>
          <w14:textFill>
            <w14:solidFill>
              <w14:schemeClr w14:val="tx1"/>
            </w14:solidFill>
          </w14:textFill>
        </w:rPr>
        <w:t>7</w:t>
      </w:r>
      <w:r>
        <w:rPr>
          <w:rFonts w:ascii="黑体" w:eastAsia="黑体"/>
          <w:color w:val="000000" w:themeColor="text1"/>
          <w:kern w:val="0"/>
          <w:szCs w:val="21"/>
          <w14:textFill>
            <w14:solidFill>
              <w14:schemeClr w14:val="tx1"/>
            </w14:solidFill>
          </w14:textFill>
        </w:rPr>
        <w:t>.</w:t>
      </w:r>
      <w:r>
        <w:rPr>
          <w:rFonts w:hint="eastAsia" w:ascii="黑体" w:eastAsia="黑体"/>
          <w:color w:val="000000" w:themeColor="text1"/>
          <w:kern w:val="0"/>
          <w:szCs w:val="21"/>
          <w14:textFill>
            <w14:solidFill>
              <w14:schemeClr w14:val="tx1"/>
            </w14:solidFill>
          </w14:textFill>
        </w:rPr>
        <w:t>4</w:t>
      </w:r>
      <w:r>
        <w:rPr>
          <w:rFonts w:ascii="黑体" w:eastAsia="黑体"/>
          <w:color w:val="000000" w:themeColor="text1"/>
          <w:kern w:val="0"/>
          <w:szCs w:val="21"/>
          <w14:textFill>
            <w14:solidFill>
              <w14:schemeClr w14:val="tx1"/>
            </w14:solidFill>
          </w14:textFill>
        </w:rPr>
        <w:t xml:space="preserve">  </w:t>
      </w:r>
      <w:r>
        <w:rPr>
          <w:rFonts w:hint="eastAsia" w:ascii="黑体" w:eastAsia="黑体"/>
          <w:color w:val="000000" w:themeColor="text1"/>
          <w:kern w:val="0"/>
          <w:szCs w:val="21"/>
          <w14:textFill>
            <w14:solidFill>
              <w14:schemeClr w14:val="tx1"/>
            </w14:solidFill>
          </w14:textFill>
        </w:rPr>
        <w:t>试验方法</w:t>
      </w:r>
      <w:r>
        <w:rPr>
          <w:rFonts w:hint="eastAsia" w:ascii="黑体" w:hAnsi="宋体" w:eastAsia="黑体"/>
          <w:color w:val="000000" w:themeColor="text1"/>
          <w:kern w:val="0"/>
          <w:szCs w:val="21"/>
          <w14:textFill>
            <w14:solidFill>
              <w14:schemeClr w14:val="tx1"/>
            </w14:solidFill>
          </w14:textFill>
        </w:rPr>
        <w:t>的确定</w:t>
      </w:r>
    </w:p>
    <w:p>
      <w:pPr>
        <w:spacing w:line="360" w:lineRule="auto"/>
        <w:ind w:firstLine="420" w:firstLineChars="200"/>
        <w:rPr>
          <w:rFonts w:ascii="黑体" w:eastAsia="黑体"/>
        </w:rPr>
      </w:pPr>
      <w:r>
        <w:rPr>
          <w:rFonts w:hint="eastAsia"/>
          <w:lang w:val="en-US" w:eastAsia="zh-CN"/>
        </w:rPr>
        <w:t>本</w:t>
      </w:r>
      <w:r>
        <w:rPr>
          <w:rFonts w:hint="eastAsia"/>
        </w:rPr>
        <w:t>次修标，</w:t>
      </w:r>
      <w:r>
        <w:rPr>
          <w:rFonts w:hint="eastAsia"/>
          <w:lang w:val="en-US" w:eastAsia="zh-CN"/>
        </w:rPr>
        <w:t>标准中</w:t>
      </w:r>
      <w:r>
        <w:rPr>
          <w:rFonts w:hint="eastAsia" w:ascii="宋体" w:hAnsi="宋体" w:eastAsia="宋体"/>
        </w:rPr>
        <w:t>规定的所有指标项目为出厂检验项目，应逐批检验</w:t>
      </w:r>
      <w:r>
        <w:rPr>
          <w:rFonts w:ascii="宋体" w:hAnsi="宋体" w:eastAsia="宋体"/>
          <w:szCs w:val="28"/>
        </w:rPr>
        <w:t>。</w:t>
      </w:r>
    </w:p>
    <w:p>
      <w:pPr>
        <w:spacing w:line="360" w:lineRule="auto"/>
        <w:rPr>
          <w:rFonts w:ascii="黑体" w:eastAsia="黑体"/>
        </w:rPr>
      </w:pPr>
      <w:r>
        <w:rPr>
          <w:rFonts w:hint="eastAsia" w:ascii="黑体" w:eastAsia="黑体"/>
          <w:color w:val="000000"/>
        </w:rPr>
        <w:t>7</w:t>
      </w:r>
      <w:r>
        <w:rPr>
          <w:rFonts w:ascii="黑体" w:eastAsia="黑体"/>
          <w:color w:val="000000"/>
        </w:rPr>
        <w:t>.</w:t>
      </w:r>
      <w:r>
        <w:rPr>
          <w:rFonts w:hint="eastAsia" w:ascii="黑体" w:eastAsia="黑体"/>
          <w:color w:val="000000"/>
        </w:rPr>
        <w:t>4</w:t>
      </w:r>
      <w:r>
        <w:rPr>
          <w:rFonts w:ascii="黑体" w:eastAsia="黑体"/>
          <w:color w:val="000000"/>
        </w:rPr>
        <w:t>.</w:t>
      </w:r>
      <w:r>
        <w:rPr>
          <w:rFonts w:hint="eastAsia" w:ascii="黑体" w:eastAsia="黑体"/>
          <w:color w:val="000000"/>
          <w:lang w:val="en-US" w:eastAsia="zh-CN"/>
        </w:rPr>
        <w:t>1</w:t>
      </w:r>
      <w:r>
        <w:rPr>
          <w:rFonts w:ascii="黑体" w:eastAsia="黑体"/>
          <w:color w:val="000000"/>
        </w:rPr>
        <w:t xml:space="preserve">  </w:t>
      </w:r>
      <w:r>
        <w:rPr>
          <w:rFonts w:hint="eastAsia" w:ascii="黑体" w:eastAsia="黑体"/>
          <w:color w:val="000000"/>
          <w:kern w:val="0"/>
          <w:szCs w:val="21"/>
        </w:rPr>
        <w:t>外观检验</w:t>
      </w:r>
    </w:p>
    <w:p>
      <w:pPr>
        <w:spacing w:line="360" w:lineRule="atLeast"/>
        <w:ind w:firstLine="420" w:firstLineChars="200"/>
        <w:rPr>
          <w:rFonts w:hint="default" w:eastAsia="宋体"/>
          <w:lang w:val="en-US" w:eastAsia="zh-CN"/>
        </w:rPr>
      </w:pPr>
      <w:r>
        <w:rPr>
          <w:szCs w:val="28"/>
        </w:rPr>
        <w:t>在自然光下</w:t>
      </w:r>
      <w:r>
        <w:rPr>
          <w:rFonts w:hint="eastAsia"/>
          <w:szCs w:val="28"/>
        </w:rPr>
        <w:t>，于白色衬底的表面皿或白瓷板上</w:t>
      </w:r>
      <w:r>
        <w:rPr>
          <w:szCs w:val="28"/>
        </w:rPr>
        <w:t>用目视法判定</w:t>
      </w:r>
      <w:r>
        <w:rPr>
          <w:rFonts w:hint="eastAsia"/>
          <w:szCs w:val="28"/>
        </w:rPr>
        <w:t>外观</w:t>
      </w:r>
      <w:r>
        <w:rPr>
          <w:szCs w:val="28"/>
        </w:rPr>
        <w:t>。</w:t>
      </w:r>
      <w:r>
        <w:rPr>
          <w:rFonts w:hint="eastAsia"/>
          <w:szCs w:val="28"/>
          <w:lang w:val="en-US" w:eastAsia="zh-CN"/>
        </w:rPr>
        <w:t>本次修订方法不变。</w:t>
      </w:r>
    </w:p>
    <w:p>
      <w:pPr>
        <w:pStyle w:val="38"/>
        <w:numPr>
          <w:ilvl w:val="2"/>
          <w:numId w:val="0"/>
        </w:numPr>
        <w:spacing w:before="120" w:after="120" w:line="360" w:lineRule="exact"/>
        <w:rPr>
          <w:rFonts w:hint="eastAsia"/>
          <w:color w:val="000000"/>
        </w:rPr>
      </w:pPr>
      <w:r>
        <w:rPr>
          <w:rFonts w:hint="eastAsia" w:ascii="黑体" w:eastAsia="黑体"/>
          <w:color w:val="000000"/>
        </w:rPr>
        <w:t>7.4.</w:t>
      </w:r>
      <w:r>
        <w:rPr>
          <w:rFonts w:hint="eastAsia"/>
          <w:color w:val="000000"/>
          <w:lang w:val="en-US" w:eastAsia="zh-CN"/>
        </w:rPr>
        <w:t>2</w:t>
      </w:r>
      <w:r>
        <w:rPr>
          <w:rFonts w:hint="eastAsia" w:ascii="黑体" w:eastAsia="黑体"/>
          <w:color w:val="000000"/>
        </w:rPr>
        <w:t xml:space="preserve">  </w:t>
      </w:r>
      <w:r>
        <w:rPr>
          <w:rFonts w:hint="eastAsia" w:hAnsi="宋体"/>
          <w:color w:val="000000"/>
          <w:lang w:val="en-US" w:eastAsia="zh-CN"/>
        </w:rPr>
        <w:t>氧化铁</w:t>
      </w:r>
      <w:r>
        <w:rPr>
          <w:rFonts w:hint="eastAsia"/>
          <w:color w:val="000000"/>
        </w:rPr>
        <w:t>含量测定</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auto"/>
        <w:rPr>
          <w:rFonts w:hint="eastAsia" w:hAnsi="宋体"/>
          <w:kern w:val="0"/>
          <w:szCs w:val="21"/>
        </w:rPr>
      </w:pPr>
      <w:r>
        <w:rPr>
          <w:rFonts w:hint="default" w:ascii="Times New Roman" w:hAnsi="Times New Roman" w:cs="Times New Roman"/>
        </w:rPr>
        <w:t>《工业氧化铁》HG/T 2574-2009</w:t>
      </w:r>
      <w:r>
        <w:rPr>
          <w:rFonts w:hint="eastAsia"/>
          <w:color w:val="000000"/>
        </w:rPr>
        <w:t>中</w:t>
      </w:r>
      <w:r>
        <w:rPr>
          <w:rFonts w:hint="eastAsia" w:hAnsi="宋体"/>
          <w:color w:val="000000"/>
          <w:lang w:val="en-US" w:eastAsia="zh-CN"/>
        </w:rPr>
        <w:t>氧化铁</w:t>
      </w:r>
      <w:r>
        <w:rPr>
          <w:rFonts w:hint="eastAsia"/>
          <w:color w:val="000000"/>
        </w:rPr>
        <w:t>含量的测定方法为：</w:t>
      </w:r>
      <w:r>
        <w:rPr>
          <w:rFonts w:hint="eastAsia"/>
          <w:lang w:val="en-US" w:eastAsia="zh-CN"/>
        </w:rPr>
        <w:t>溶解样品后</w:t>
      </w:r>
      <w:r>
        <w:rPr>
          <w:rFonts w:hint="eastAsia"/>
        </w:rPr>
        <w:t>，用氯化亚锡</w:t>
      </w:r>
      <w:r>
        <w:rPr>
          <w:rFonts w:hint="eastAsia"/>
          <w:lang w:val="en-US" w:eastAsia="zh-CN"/>
        </w:rPr>
        <w:t>和三氯化钛</w:t>
      </w:r>
      <w:r>
        <w:rPr>
          <w:rFonts w:hint="eastAsia"/>
        </w:rPr>
        <w:t>将试验溶液中的</w:t>
      </w:r>
      <w:r>
        <w:rPr>
          <w:rFonts w:hint="eastAsia"/>
          <w:lang w:val="en-US" w:eastAsia="zh-CN"/>
        </w:rPr>
        <w:t>三价铁离子</w:t>
      </w:r>
      <w:r>
        <w:rPr>
          <w:rFonts w:hint="eastAsia"/>
        </w:rPr>
        <w:t>还原成</w:t>
      </w:r>
      <w:r>
        <w:rPr>
          <w:rFonts w:hint="eastAsia" w:ascii="Times New Roman"/>
          <w:lang w:val="en-US" w:eastAsia="zh-CN"/>
        </w:rPr>
        <w:t>二价铁离子</w:t>
      </w:r>
      <w:r>
        <w:rPr>
          <w:rFonts w:hint="eastAsia"/>
        </w:rPr>
        <w:t>，以二苯胺磺酸钠为指示剂，用重铬酸钾标准滴定溶液滴定溶液呈稳定的紫红色即为终点</w:t>
      </w:r>
      <w:r>
        <w:rPr>
          <w:rFonts w:hint="eastAsia" w:hAnsi="宋体"/>
          <w:kern w:val="0"/>
          <w:szCs w:val="21"/>
        </w:rPr>
        <w:t>。</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auto"/>
        <w:rPr>
          <w:rFonts w:hint="eastAsia"/>
        </w:rPr>
      </w:pPr>
      <w:r>
        <w:rPr>
          <w:rFonts w:hint="eastAsia" w:ascii="宋体"/>
          <w:color w:val="000000"/>
        </w:rPr>
        <w:t>国内生产企业和相关单位普遍采用</w:t>
      </w:r>
      <w:r>
        <w:rPr>
          <w:rFonts w:hint="eastAsia" w:ascii="宋体"/>
          <w:color w:val="000000"/>
          <w:lang w:val="en-US" w:eastAsia="zh-CN"/>
        </w:rPr>
        <w:t>此方法</w:t>
      </w:r>
      <w:r>
        <w:rPr>
          <w:rFonts w:hint="eastAsia" w:ascii="宋体"/>
          <w:color w:val="000000"/>
        </w:rPr>
        <w:t>，</w:t>
      </w:r>
      <w:r>
        <w:rPr>
          <w:rFonts w:hint="eastAsia" w:ascii="宋体"/>
          <w:color w:val="000000"/>
          <w:lang w:val="en-US" w:eastAsia="zh-CN"/>
        </w:rPr>
        <w:t>其</w:t>
      </w:r>
      <w:r>
        <w:rPr>
          <w:rFonts w:hint="eastAsia" w:ascii="宋体"/>
          <w:color w:val="000000"/>
        </w:rPr>
        <w:t>结果科学、准确、可靠，本次修标仍采用此</w:t>
      </w:r>
      <w:r>
        <w:rPr>
          <w:rFonts w:hint="eastAsia"/>
        </w:rPr>
        <w:t>方法。</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auto"/>
        <w:rPr>
          <w:rFonts w:hint="eastAsia"/>
          <w:lang w:val="en-US" w:eastAsia="zh-CN"/>
        </w:rPr>
      </w:pPr>
      <w:r>
        <w:rPr>
          <w:rFonts w:hint="eastAsia"/>
          <w:lang w:val="en-US" w:eastAsia="zh-CN"/>
        </w:rPr>
        <w:t>三类产品盐酸溶液溶解后测定结果如下：</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center"/>
        <w:textAlignment w:val="auto"/>
        <w:rPr>
          <w:rFonts w:hint="eastAsia" w:ascii="黑体" w:hAnsi="黑体" w:eastAsia="黑体" w:cs="黑体"/>
          <w:lang w:val="en-US" w:eastAsia="zh-CN"/>
        </w:rPr>
      </w:pPr>
      <w:r>
        <w:rPr>
          <w:rFonts w:hint="eastAsia" w:ascii="黑体" w:hAnsi="黑体" w:eastAsia="黑体" w:cs="黑体"/>
          <w:lang w:val="en-US" w:eastAsia="zh-CN"/>
        </w:rPr>
        <w:t>表2  三类产品主含量测定（%）</w:t>
      </w:r>
    </w:p>
    <w:tbl>
      <w:tblPr>
        <w:tblStyle w:val="10"/>
        <w:tblW w:w="4806" w:type="pct"/>
        <w:jc w:val="center"/>
        <w:tblLayout w:type="autofit"/>
        <w:tblCellMar>
          <w:top w:w="0" w:type="dxa"/>
          <w:left w:w="108" w:type="dxa"/>
          <w:bottom w:w="0" w:type="dxa"/>
          <w:right w:w="108" w:type="dxa"/>
        </w:tblCellMar>
      </w:tblPr>
      <w:tblGrid>
        <w:gridCol w:w="1737"/>
        <w:gridCol w:w="737"/>
        <w:gridCol w:w="738"/>
        <w:gridCol w:w="742"/>
        <w:gridCol w:w="742"/>
        <w:gridCol w:w="742"/>
        <w:gridCol w:w="744"/>
        <w:gridCol w:w="744"/>
        <w:gridCol w:w="744"/>
        <w:gridCol w:w="744"/>
        <w:gridCol w:w="760"/>
        <w:gridCol w:w="734"/>
      </w:tblGrid>
      <w:tr>
        <w:tblPrEx>
          <w:tblCellMar>
            <w:top w:w="0" w:type="dxa"/>
            <w:left w:w="108" w:type="dxa"/>
            <w:bottom w:w="0" w:type="dxa"/>
            <w:right w:w="108" w:type="dxa"/>
          </w:tblCellMar>
        </w:tblPrEx>
        <w:trPr>
          <w:trHeight w:val="280" w:hRule="atLeast"/>
          <w:jc w:val="center"/>
        </w:trPr>
        <w:tc>
          <w:tcPr>
            <w:tcW w:w="876"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eastAsia="等线"/>
                <w:color w:val="000000"/>
                <w:kern w:val="0"/>
                <w:sz w:val="18"/>
                <w:szCs w:val="18"/>
              </w:rPr>
            </w:pPr>
            <w:r>
              <w:rPr>
                <w:rFonts w:hint="eastAsia" w:eastAsia="等线"/>
                <w:color w:val="000000"/>
                <w:kern w:val="0"/>
                <w:sz w:val="18"/>
                <w:szCs w:val="18"/>
              </w:rPr>
              <w:t>样品</w:t>
            </w:r>
          </w:p>
        </w:tc>
        <w:tc>
          <w:tcPr>
            <w:tcW w:w="37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1</w:t>
            </w:r>
          </w:p>
        </w:tc>
        <w:tc>
          <w:tcPr>
            <w:tcW w:w="37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2</w:t>
            </w:r>
          </w:p>
        </w:tc>
        <w:tc>
          <w:tcPr>
            <w:tcW w:w="3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3</w:t>
            </w:r>
          </w:p>
        </w:tc>
        <w:tc>
          <w:tcPr>
            <w:tcW w:w="3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4</w:t>
            </w:r>
          </w:p>
        </w:tc>
        <w:tc>
          <w:tcPr>
            <w:tcW w:w="3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5</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6</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7</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8</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均值</w:t>
            </w:r>
          </w:p>
        </w:tc>
        <w:tc>
          <w:tcPr>
            <w:tcW w:w="38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标准偏差</w:t>
            </w: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R</w:t>
            </w:r>
            <w:r>
              <w:rPr>
                <w:rFonts w:ascii="宋体" w:hAnsi="宋体" w:cs="宋体"/>
                <w:color w:val="000000"/>
                <w:kern w:val="0"/>
                <w:sz w:val="18"/>
                <w:szCs w:val="18"/>
              </w:rPr>
              <w:t>SD</w:t>
            </w:r>
          </w:p>
        </w:tc>
      </w:tr>
      <w:tr>
        <w:tblPrEx>
          <w:tblCellMar>
            <w:top w:w="0" w:type="dxa"/>
            <w:left w:w="108" w:type="dxa"/>
            <w:bottom w:w="0" w:type="dxa"/>
            <w:right w:w="108" w:type="dxa"/>
          </w:tblCellMar>
        </w:tblPrEx>
        <w:trPr>
          <w:trHeight w:val="280" w:hRule="atLeast"/>
          <w:jc w:val="center"/>
        </w:trPr>
        <w:tc>
          <w:tcPr>
            <w:tcW w:w="87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jc w:val="center"/>
              <w:rPr>
                <w:rFonts w:hint="eastAsia" w:eastAsia="等线"/>
                <w:color w:val="000000"/>
                <w:kern w:val="0"/>
                <w:sz w:val="18"/>
                <w:szCs w:val="18"/>
                <w:lang w:val="en-US" w:eastAsia="zh-CN"/>
              </w:rPr>
            </w:pPr>
            <w:r>
              <w:rPr>
                <w:rFonts w:hint="eastAsia" w:eastAsia="等线"/>
                <w:color w:val="000000"/>
                <w:kern w:val="0"/>
                <w:sz w:val="18"/>
                <w:szCs w:val="18"/>
                <w:lang w:val="en-US" w:eastAsia="zh-CN"/>
              </w:rPr>
              <w:t>1</w:t>
            </w:r>
          </w:p>
        </w:tc>
        <w:tc>
          <w:tcPr>
            <w:tcW w:w="372"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77.14 </w:t>
            </w:r>
          </w:p>
        </w:tc>
        <w:tc>
          <w:tcPr>
            <w:tcW w:w="372"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77.32 </w:t>
            </w:r>
          </w:p>
        </w:tc>
        <w:tc>
          <w:tcPr>
            <w:tcW w:w="37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77.53 </w:t>
            </w:r>
          </w:p>
        </w:tc>
        <w:tc>
          <w:tcPr>
            <w:tcW w:w="37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77.71 </w:t>
            </w:r>
          </w:p>
        </w:tc>
        <w:tc>
          <w:tcPr>
            <w:tcW w:w="37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77.43 </w:t>
            </w:r>
          </w:p>
        </w:tc>
        <w:tc>
          <w:tcPr>
            <w:tcW w:w="3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77.66 </w:t>
            </w:r>
          </w:p>
        </w:tc>
        <w:tc>
          <w:tcPr>
            <w:tcW w:w="3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76.54 </w:t>
            </w:r>
          </w:p>
        </w:tc>
        <w:tc>
          <w:tcPr>
            <w:tcW w:w="3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75.89 </w:t>
            </w:r>
          </w:p>
        </w:tc>
        <w:tc>
          <w:tcPr>
            <w:tcW w:w="3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77.15 </w:t>
            </w:r>
          </w:p>
        </w:tc>
        <w:tc>
          <w:tcPr>
            <w:tcW w:w="38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0.63 </w:t>
            </w:r>
          </w:p>
        </w:tc>
        <w:tc>
          <w:tcPr>
            <w:tcW w:w="3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0.82%</w:t>
            </w:r>
          </w:p>
        </w:tc>
      </w:tr>
      <w:tr>
        <w:tblPrEx>
          <w:tblCellMar>
            <w:top w:w="0" w:type="dxa"/>
            <w:left w:w="108" w:type="dxa"/>
            <w:bottom w:w="0" w:type="dxa"/>
            <w:right w:w="108" w:type="dxa"/>
          </w:tblCellMar>
        </w:tblPrEx>
        <w:trPr>
          <w:trHeight w:val="280" w:hRule="atLeast"/>
          <w:jc w:val="center"/>
        </w:trPr>
        <w:tc>
          <w:tcPr>
            <w:tcW w:w="87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jc w:val="center"/>
              <w:rPr>
                <w:rFonts w:hint="default" w:eastAsia="等线"/>
                <w:color w:val="000000"/>
                <w:kern w:val="0"/>
                <w:sz w:val="18"/>
                <w:szCs w:val="18"/>
                <w:lang w:val="en-US" w:eastAsia="zh-CN"/>
              </w:rPr>
            </w:pPr>
            <w:r>
              <w:rPr>
                <w:rFonts w:hint="eastAsia" w:eastAsia="等线"/>
                <w:color w:val="000000"/>
                <w:kern w:val="0"/>
                <w:sz w:val="18"/>
                <w:szCs w:val="18"/>
                <w:lang w:val="en-US" w:eastAsia="zh-CN"/>
              </w:rPr>
              <w:t>2</w:t>
            </w:r>
          </w:p>
        </w:tc>
        <w:tc>
          <w:tcPr>
            <w:tcW w:w="372"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71.75 </w:t>
            </w:r>
          </w:p>
        </w:tc>
        <w:tc>
          <w:tcPr>
            <w:tcW w:w="372"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71.92 </w:t>
            </w:r>
          </w:p>
        </w:tc>
        <w:tc>
          <w:tcPr>
            <w:tcW w:w="37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71.05 </w:t>
            </w:r>
          </w:p>
        </w:tc>
        <w:tc>
          <w:tcPr>
            <w:tcW w:w="37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72.13 </w:t>
            </w:r>
          </w:p>
        </w:tc>
        <w:tc>
          <w:tcPr>
            <w:tcW w:w="37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71.48 </w:t>
            </w:r>
          </w:p>
        </w:tc>
        <w:tc>
          <w:tcPr>
            <w:tcW w:w="3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71.42 </w:t>
            </w:r>
          </w:p>
        </w:tc>
        <w:tc>
          <w:tcPr>
            <w:tcW w:w="3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71.10 </w:t>
            </w:r>
          </w:p>
        </w:tc>
        <w:tc>
          <w:tcPr>
            <w:tcW w:w="3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71.56 </w:t>
            </w:r>
          </w:p>
        </w:tc>
        <w:tc>
          <w:tcPr>
            <w:tcW w:w="3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71.55 </w:t>
            </w:r>
          </w:p>
        </w:tc>
        <w:tc>
          <w:tcPr>
            <w:tcW w:w="38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0.38 </w:t>
            </w:r>
          </w:p>
        </w:tc>
        <w:tc>
          <w:tcPr>
            <w:tcW w:w="3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0.53%</w:t>
            </w:r>
          </w:p>
        </w:tc>
      </w:tr>
    </w:tbl>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auto"/>
        <w:rPr>
          <w:rFonts w:hint="default"/>
          <w:lang w:val="en-US" w:eastAsia="zh-CN"/>
        </w:rPr>
      </w:pP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ascii="黑体" w:eastAsia="黑体"/>
          <w:color w:val="000000"/>
        </w:rPr>
      </w:pPr>
      <w:r>
        <w:rPr>
          <w:rFonts w:hint="eastAsia" w:ascii="黑体" w:eastAsia="黑体"/>
          <w:color w:val="000000"/>
        </w:rPr>
        <w:t>7.4.</w:t>
      </w:r>
      <w:r>
        <w:rPr>
          <w:rFonts w:hint="eastAsia" w:ascii="黑体" w:eastAsia="黑体"/>
          <w:color w:val="000000"/>
          <w:lang w:val="en-US" w:eastAsia="zh-CN"/>
        </w:rPr>
        <w:t>3</w:t>
      </w:r>
      <w:r>
        <w:rPr>
          <w:rFonts w:hint="eastAsia" w:ascii="黑体" w:eastAsia="黑体"/>
          <w:color w:val="000000"/>
        </w:rPr>
        <w:t xml:space="preserve">  </w:t>
      </w:r>
      <w:r>
        <w:rPr>
          <w:rFonts w:hint="eastAsia" w:ascii="黑体" w:eastAsia="黑体"/>
          <w:color w:val="000000"/>
          <w:lang w:val="en-US" w:eastAsia="zh-CN"/>
        </w:rPr>
        <w:t>干燥减量</w:t>
      </w:r>
      <w:r>
        <w:rPr>
          <w:rFonts w:hint="eastAsia" w:ascii="黑体" w:eastAsia="黑体"/>
          <w:color w:val="000000"/>
        </w:rPr>
        <w:t>的测定</w:t>
      </w:r>
    </w:p>
    <w:p>
      <w:pPr>
        <w:autoSpaceDE w:val="0"/>
        <w:autoSpaceDN w:val="0"/>
        <w:adjustRightInd w:val="0"/>
        <w:spacing w:line="360" w:lineRule="atLeast"/>
        <w:ind w:firstLine="420" w:firstLineChars="200"/>
        <w:jc w:val="left"/>
        <w:rPr>
          <w:rFonts w:ascii="宋体"/>
          <w:color w:val="000000"/>
        </w:rPr>
      </w:pPr>
      <w:r>
        <w:rPr>
          <w:rFonts w:hint="default" w:ascii="Times New Roman" w:hAnsi="Times New Roman" w:cs="Times New Roman"/>
        </w:rPr>
        <w:t>《工业氧化铁》HG/T 2574-2009</w:t>
      </w:r>
      <w:r>
        <w:rPr>
          <w:rFonts w:hint="eastAsia"/>
          <w:color w:val="000000"/>
        </w:rPr>
        <w:t>中</w:t>
      </w:r>
      <w:r>
        <w:rPr>
          <w:rFonts w:hint="eastAsia" w:hAnsi="宋体"/>
          <w:color w:val="000000"/>
          <w:lang w:val="en-US" w:eastAsia="zh-CN"/>
        </w:rPr>
        <w:t>干燥减量</w:t>
      </w:r>
      <w:r>
        <w:rPr>
          <w:rFonts w:hint="eastAsia"/>
          <w:color w:val="000000"/>
        </w:rPr>
        <w:t>含量的测定方法为</w:t>
      </w:r>
      <w:r>
        <w:rPr>
          <w:rFonts w:hint="eastAsia"/>
          <w:color w:val="000000"/>
          <w:lang w:val="en-US" w:eastAsia="zh-CN"/>
        </w:rPr>
        <w:t>重量法</w:t>
      </w:r>
      <w:r>
        <w:rPr>
          <w:rFonts w:hint="eastAsia" w:ascii="宋体"/>
          <w:color w:val="000000"/>
          <w:lang w:val="en-US" w:eastAsia="zh-CN"/>
        </w:rPr>
        <w:t>，</w:t>
      </w:r>
      <w:r>
        <w:rPr>
          <w:rFonts w:hint="eastAsia" w:ascii="宋体"/>
          <w:color w:val="000000"/>
        </w:rPr>
        <w:t>本次修标仍采用</w:t>
      </w:r>
      <w:r>
        <w:rPr>
          <w:rFonts w:hint="eastAsia"/>
        </w:rPr>
        <w:t>。</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ascii="黑体" w:eastAsia="黑体"/>
        </w:rPr>
      </w:pPr>
      <w:r>
        <w:rPr>
          <w:rFonts w:hint="eastAsia" w:ascii="黑体" w:eastAsia="黑体"/>
          <w:color w:val="000000"/>
        </w:rPr>
        <w:t>7</w:t>
      </w:r>
      <w:r>
        <w:rPr>
          <w:rFonts w:ascii="黑体" w:eastAsia="黑体"/>
          <w:color w:val="000000"/>
        </w:rPr>
        <w:t>.</w:t>
      </w:r>
      <w:r>
        <w:rPr>
          <w:rFonts w:hint="eastAsia" w:ascii="黑体" w:eastAsia="黑体"/>
          <w:color w:val="000000"/>
        </w:rPr>
        <w:t>4</w:t>
      </w:r>
      <w:r>
        <w:rPr>
          <w:rFonts w:ascii="黑体" w:eastAsia="黑体"/>
          <w:color w:val="000000"/>
        </w:rPr>
        <w:t>.</w:t>
      </w:r>
      <w:r>
        <w:rPr>
          <w:rFonts w:hint="eastAsia" w:ascii="黑体" w:eastAsia="黑体"/>
          <w:color w:val="000000"/>
        </w:rPr>
        <w:t>4</w:t>
      </w:r>
      <w:r>
        <w:rPr>
          <w:rFonts w:ascii="黑体" w:eastAsia="黑体"/>
          <w:color w:val="000000"/>
        </w:rPr>
        <w:t xml:space="preserve">  </w:t>
      </w:r>
      <w:r>
        <w:rPr>
          <w:rFonts w:hint="eastAsia" w:ascii="黑体" w:hAnsi="宋体" w:eastAsia="黑体"/>
          <w:lang w:val="en-US" w:eastAsia="zh-CN"/>
        </w:rPr>
        <w:t>二氧化硅</w:t>
      </w:r>
      <w:r>
        <w:rPr>
          <w:rFonts w:hint="eastAsia" w:ascii="黑体" w:eastAsia="黑体"/>
          <w:spacing w:val="-2"/>
        </w:rPr>
        <w:t>含量测定</w:t>
      </w:r>
    </w:p>
    <w:p>
      <w:pPr>
        <w:pStyle w:val="19"/>
        <w:spacing w:line="360" w:lineRule="exact"/>
        <w:rPr>
          <w:rFonts w:hint="default" w:ascii="Times New Roman" w:hAnsi="Times New Roman" w:cs="Times New Roman"/>
          <w:color w:val="000000"/>
        </w:rPr>
      </w:pPr>
      <w:r>
        <w:rPr>
          <w:rFonts w:hint="default" w:ascii="Times New Roman" w:hAnsi="Times New Roman" w:cs="Times New Roman"/>
        </w:rPr>
        <w:t>《工业氧化铁》HG/T 2574-2009</w:t>
      </w:r>
      <w:r>
        <w:rPr>
          <w:rFonts w:hint="eastAsia"/>
          <w:color w:val="000000"/>
        </w:rPr>
        <w:t>中</w:t>
      </w:r>
      <w:r>
        <w:rPr>
          <w:rFonts w:hint="eastAsia" w:hAnsi="宋体"/>
          <w:color w:val="000000"/>
          <w:lang w:val="en-US" w:eastAsia="zh-CN"/>
        </w:rPr>
        <w:t>二氧化硅</w:t>
      </w:r>
      <w:r>
        <w:rPr>
          <w:rFonts w:hint="eastAsia"/>
          <w:color w:val="000000"/>
        </w:rPr>
        <w:t>含量的测定方法为</w:t>
      </w:r>
      <w:r>
        <w:rPr>
          <w:rFonts w:hint="eastAsia"/>
          <w:color w:val="000000"/>
          <w:lang w:eastAsia="zh-CN"/>
        </w:rPr>
        <w:t>：</w:t>
      </w:r>
      <w:r>
        <w:rPr>
          <w:rFonts w:hint="default" w:ascii="Times New Roman" w:hAnsi="Times New Roman" w:cs="Times New Roman"/>
          <w:szCs w:val="21"/>
          <w:lang w:val="en-US" w:eastAsia="zh-CN"/>
        </w:rPr>
        <w:t>在酸性（pH为1.1±0.2）环境中，钼酸铵与水中二氧化硅反应，生</w:t>
      </w:r>
      <w:r>
        <w:rPr>
          <w:rFonts w:hint="eastAsia" w:ascii="Times New Roman" w:cs="Times New Roman"/>
          <w:szCs w:val="21"/>
          <w:lang w:val="en-US" w:eastAsia="zh-CN"/>
        </w:rPr>
        <w:t>成</w:t>
      </w:r>
      <w:r>
        <w:rPr>
          <w:rFonts w:hint="default" w:ascii="Times New Roman" w:hAnsi="Times New Roman" w:cs="Times New Roman"/>
          <w:szCs w:val="21"/>
          <w:lang w:val="en-US" w:eastAsia="zh-CN"/>
        </w:rPr>
        <w:t>黄色可溶的硅钼杂多酸配合物，加</w:t>
      </w:r>
      <w:r>
        <w:rPr>
          <w:rFonts w:hint="eastAsia" w:ascii="Times New Roman" w:hAnsi="Times New Roman" w:cs="Times New Roman"/>
          <w:szCs w:val="21"/>
          <w:lang w:val="en-US" w:eastAsia="zh-CN"/>
        </w:rPr>
        <w:t>1-</w:t>
      </w:r>
      <w:r>
        <w:rPr>
          <w:rFonts w:hint="default" w:ascii="Times New Roman" w:hAnsi="Times New Roman" w:cs="Times New Roman"/>
          <w:szCs w:val="21"/>
          <w:lang w:val="en-US" w:eastAsia="zh-CN"/>
        </w:rPr>
        <w:t>氨基</w:t>
      </w:r>
      <w:r>
        <w:rPr>
          <w:rFonts w:hint="eastAsia" w:ascii="Times New Roman" w:hAnsi="Times New Roman" w:cs="Times New Roman"/>
          <w:szCs w:val="21"/>
          <w:lang w:val="en-US" w:eastAsia="zh-CN"/>
        </w:rPr>
        <w:t>-2-</w:t>
      </w:r>
      <w:r>
        <w:rPr>
          <w:rFonts w:hint="default" w:ascii="Times New Roman" w:hAnsi="Times New Roman" w:cs="Times New Roman"/>
          <w:szCs w:val="21"/>
          <w:lang w:val="en-US" w:eastAsia="zh-CN"/>
        </w:rPr>
        <w:t>奈酚</w:t>
      </w:r>
      <w:r>
        <w:rPr>
          <w:rFonts w:hint="eastAsia" w:ascii="Times New Roman" w:hAnsi="Times New Roman" w:cs="Times New Roman"/>
          <w:szCs w:val="21"/>
          <w:lang w:val="en-US" w:eastAsia="zh-CN"/>
        </w:rPr>
        <w:t>-4-</w:t>
      </w:r>
      <w:r>
        <w:rPr>
          <w:rFonts w:hint="default" w:ascii="Times New Roman" w:hAnsi="Times New Roman" w:cs="Times New Roman"/>
          <w:szCs w:val="21"/>
          <w:lang w:val="en-US" w:eastAsia="zh-CN"/>
        </w:rPr>
        <w:t>磺酸将其还原成硅钼蓝，所呈蓝色与二氧化硅浓度呈正比，用限量比色法测定</w:t>
      </w:r>
      <w:r>
        <w:rPr>
          <w:rFonts w:hint="default" w:ascii="Times New Roman" w:hAnsi="Times New Roman" w:cs="Times New Roman"/>
          <w:szCs w:val="21"/>
        </w:rPr>
        <w:t>。</w:t>
      </w:r>
    </w:p>
    <w:p>
      <w:pPr>
        <w:pStyle w:val="22"/>
        <w:widowControl/>
        <w:numPr>
          <w:ilvl w:val="0"/>
          <w:numId w:val="0"/>
        </w:numPr>
        <w:autoSpaceDE/>
        <w:autoSpaceDN/>
        <w:adjustRightInd/>
        <w:spacing w:line="360" w:lineRule="exact"/>
        <w:ind w:firstLine="420" w:firstLineChars="200"/>
        <w:jc w:val="left"/>
        <w:outlineLvl w:val="2"/>
        <w:rPr>
          <w:color w:val="000000"/>
          <w:szCs w:val="21"/>
        </w:rPr>
      </w:pPr>
      <w:r>
        <w:rPr>
          <w:rFonts w:hint="eastAsia"/>
          <w:color w:val="000000"/>
          <w:lang w:val="en-US" w:eastAsia="zh-CN"/>
        </w:rPr>
        <w:t>该方法为限量比色法，且操作步骤繁多，所用试剂目前存在购买困难等问题，本次修订中，增加了</w:t>
      </w:r>
      <w:r>
        <w:rPr>
          <w:rFonts w:hint="eastAsia"/>
          <w:color w:val="000000"/>
          <w:highlight w:val="none"/>
          <w:lang w:val="en-US" w:eastAsia="zh-CN"/>
        </w:rPr>
        <w:t>ICP方法</w:t>
      </w:r>
      <w:r>
        <w:rPr>
          <w:rFonts w:hint="eastAsia"/>
          <w:color w:val="000000"/>
          <w:lang w:val="en-US" w:eastAsia="zh-CN"/>
        </w:rPr>
        <w:t>，可与其他金属离子一并测定，具有准确度高，操作简便，试剂简单等优点，测定硅元素含量后转化为氧化物含量。</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hint="eastAsia" w:ascii="黑体" w:eastAsia="黑体"/>
          <w:color w:val="000000"/>
          <w:lang w:val="en-US" w:eastAsia="zh-CN"/>
        </w:rPr>
      </w:pPr>
      <w:r>
        <w:rPr>
          <w:rFonts w:hint="eastAsia" w:ascii="黑体" w:eastAsia="黑体"/>
          <w:color w:val="000000"/>
        </w:rPr>
        <w:t xml:space="preserve">7.4.5  </w:t>
      </w:r>
      <w:r>
        <w:rPr>
          <w:rFonts w:hint="eastAsia" w:ascii="黑体" w:eastAsia="黑体"/>
          <w:color w:val="000000"/>
          <w:lang w:val="en-US" w:eastAsia="zh-CN"/>
        </w:rPr>
        <w:t>硫酸盐含量的测定</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ind w:firstLine="420"/>
        <w:textAlignment w:val="auto"/>
        <w:rPr>
          <w:rFonts w:hint="eastAsia" w:ascii="宋体" w:hAnsi="宋体"/>
          <w:bCs/>
          <w:lang w:val="en-US" w:eastAsia="zh-CN"/>
        </w:rPr>
      </w:pPr>
      <w:r>
        <w:rPr>
          <w:rFonts w:hint="default" w:ascii="Times New Roman" w:hAnsi="Times New Roman" w:cs="Times New Roman"/>
        </w:rPr>
        <w:t>《工业氧化铁》HG/T 2574-2009</w:t>
      </w:r>
      <w:r>
        <w:rPr>
          <w:rFonts w:hint="eastAsia"/>
          <w:color w:val="000000"/>
        </w:rPr>
        <w:t>中</w:t>
      </w:r>
      <w:r>
        <w:rPr>
          <w:rFonts w:hint="eastAsia" w:hAnsi="宋体"/>
          <w:color w:val="000000"/>
          <w:lang w:val="en-US" w:eastAsia="zh-CN"/>
        </w:rPr>
        <w:t>硫酸盐</w:t>
      </w:r>
      <w:r>
        <w:rPr>
          <w:rFonts w:hint="eastAsia"/>
          <w:color w:val="000000"/>
        </w:rPr>
        <w:t>含量的测定方法为</w:t>
      </w:r>
      <w:r>
        <w:rPr>
          <w:rFonts w:hint="eastAsia"/>
          <w:color w:val="000000"/>
          <w:lang w:val="en-US" w:eastAsia="zh-CN"/>
        </w:rPr>
        <w:t>重量法，企业反应在日常检测中花费时间较长，建议增加一项目视比浊法，便于日常检测，发生贸易纠纷等情况下，以重量法为仲裁法。</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hint="eastAsia" w:ascii="黑体" w:eastAsia="黑体"/>
          <w:color w:val="000000"/>
          <w:lang w:val="en-US" w:eastAsia="zh-CN"/>
        </w:rPr>
      </w:pPr>
      <w:r>
        <w:rPr>
          <w:rFonts w:hint="eastAsia" w:ascii="黑体" w:eastAsia="黑体"/>
          <w:color w:val="auto"/>
        </w:rPr>
        <w:t xml:space="preserve">7.4.6  </w:t>
      </w:r>
      <w:r>
        <w:rPr>
          <w:rFonts w:hint="eastAsia" w:ascii="黑体" w:eastAsia="黑体"/>
          <w:color w:val="000000"/>
          <w:lang w:val="en-US" w:eastAsia="zh-CN"/>
        </w:rPr>
        <w:t>氯化物含量的测定</w:t>
      </w:r>
    </w:p>
    <w:p>
      <w:pPr>
        <w:autoSpaceDE w:val="0"/>
        <w:autoSpaceDN w:val="0"/>
        <w:adjustRightInd w:val="0"/>
        <w:spacing w:before="156" w:beforeLines="50" w:after="156" w:afterLines="50" w:line="360" w:lineRule="exact"/>
        <w:ind w:firstLine="420" w:firstLineChars="200"/>
        <w:rPr>
          <w:rFonts w:hint="eastAsia" w:cs="Times New Roman"/>
          <w:color w:val="000000"/>
          <w:lang w:val="en-US" w:eastAsia="zh-CN"/>
        </w:rPr>
      </w:pPr>
      <w:r>
        <w:rPr>
          <w:rFonts w:hint="eastAsia" w:ascii="Times New Roman" w:hAnsi="Times New Roman" w:eastAsia="宋体" w:cs="Times New Roman"/>
          <w:color w:val="000000"/>
          <w:lang w:eastAsia="zh-CN"/>
        </w:rPr>
        <w:t>本次修订标准</w:t>
      </w:r>
      <w:r>
        <w:rPr>
          <w:rFonts w:hint="eastAsia" w:ascii="Times New Roman" w:hAnsi="Times New Roman" w:eastAsia="宋体" w:cs="Times New Roman"/>
          <w:color w:val="000000"/>
          <w:lang w:val="en-US" w:eastAsia="zh-CN"/>
        </w:rPr>
        <w:t>，氯化物</w:t>
      </w:r>
      <w:r>
        <w:rPr>
          <w:rFonts w:hint="eastAsia" w:cs="Times New Roman"/>
          <w:color w:val="000000"/>
          <w:lang w:val="en-US" w:eastAsia="zh-CN"/>
        </w:rPr>
        <w:t>含量测定修改为电位滴定法，原方法为蒸馏后目视比浊法，该方法中需要先蒸馏出氯化氢，然后再进行比浊，方法繁琐且为半定量方法，目前企业已经不再使用。</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hint="eastAsia" w:ascii="黑体" w:eastAsia="黑体"/>
          <w:color w:val="000000"/>
          <w:lang w:val="en-US" w:eastAsia="zh-CN"/>
        </w:rPr>
      </w:pPr>
      <w:r>
        <w:rPr>
          <w:rFonts w:hint="eastAsia" w:ascii="黑体" w:eastAsia="黑体"/>
          <w:color w:val="auto"/>
        </w:rPr>
        <w:t>7.4.</w:t>
      </w:r>
      <w:r>
        <w:rPr>
          <w:rFonts w:hint="eastAsia" w:ascii="黑体" w:eastAsia="黑体"/>
          <w:color w:val="auto"/>
          <w:lang w:val="en-US" w:eastAsia="zh-CN"/>
        </w:rPr>
        <w:t>7</w:t>
      </w:r>
      <w:r>
        <w:rPr>
          <w:rFonts w:hint="eastAsia" w:ascii="黑体" w:eastAsia="黑体"/>
          <w:color w:val="auto"/>
        </w:rPr>
        <w:t xml:space="preserve">  </w:t>
      </w:r>
      <w:r>
        <w:rPr>
          <w:rFonts w:hint="eastAsia" w:ascii="黑体" w:eastAsia="黑体"/>
          <w:color w:val="000000"/>
          <w:lang w:val="en-US" w:eastAsia="zh-CN"/>
        </w:rPr>
        <w:t>铝含量的测定</w:t>
      </w:r>
    </w:p>
    <w:p>
      <w:pPr>
        <w:autoSpaceDE w:val="0"/>
        <w:autoSpaceDN w:val="0"/>
        <w:adjustRightInd w:val="0"/>
        <w:spacing w:before="156" w:beforeLines="50" w:after="156" w:afterLines="50" w:line="360" w:lineRule="exact"/>
        <w:ind w:firstLine="420" w:firstLineChars="200"/>
        <w:rPr>
          <w:rFonts w:hint="eastAsia"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本次修订</w:t>
      </w:r>
      <w:r>
        <w:rPr>
          <w:rFonts w:hint="eastAsia" w:cs="Times New Roman"/>
          <w:color w:val="000000"/>
          <w:lang w:val="en-US" w:eastAsia="zh-CN"/>
        </w:rPr>
        <w:t>，</w:t>
      </w:r>
      <w:r>
        <w:rPr>
          <w:rFonts w:hint="eastAsia" w:ascii="Times New Roman" w:hAnsi="Times New Roman" w:eastAsia="宋体" w:cs="Times New Roman"/>
          <w:color w:val="000000"/>
          <w:lang w:val="en-US" w:eastAsia="zh-CN"/>
        </w:rPr>
        <w:t>铝含量测定</w:t>
      </w:r>
      <w:r>
        <w:rPr>
          <w:rFonts w:hint="eastAsia" w:cs="Times New Roman"/>
          <w:color w:val="000000"/>
          <w:lang w:val="en-US" w:eastAsia="zh-CN"/>
        </w:rPr>
        <w:t>方法</w:t>
      </w:r>
      <w:r>
        <w:rPr>
          <w:rFonts w:hint="eastAsia" w:ascii="Times New Roman" w:hAnsi="Times New Roman" w:eastAsia="宋体" w:cs="Times New Roman"/>
          <w:color w:val="000000"/>
          <w:lang w:val="en-US" w:eastAsia="zh-CN"/>
        </w:rPr>
        <w:t>删除了现有的铝试剂分光光度法，</w:t>
      </w:r>
      <w:r>
        <w:rPr>
          <w:rFonts w:hint="eastAsia" w:ascii="Times New Roman" w:hAnsi="Times New Roman" w:eastAsia="宋体" w:cs="Times New Roman"/>
          <w:color w:val="000000"/>
          <w:highlight w:val="none"/>
          <w:lang w:val="en-US" w:eastAsia="zh-CN"/>
        </w:rPr>
        <w:t>修改为ICP法</w:t>
      </w:r>
      <w:r>
        <w:rPr>
          <w:rFonts w:hint="eastAsia" w:ascii="Times New Roman" w:hAnsi="Times New Roman" w:eastAsia="宋体" w:cs="Times New Roman"/>
          <w:color w:val="000000"/>
          <w:lang w:val="en-US" w:eastAsia="zh-CN"/>
        </w:rPr>
        <w:t>。</w:t>
      </w:r>
    </w:p>
    <w:p>
      <w:pPr>
        <w:autoSpaceDE w:val="0"/>
        <w:autoSpaceDN w:val="0"/>
        <w:adjustRightInd w:val="0"/>
        <w:spacing w:before="156" w:beforeLines="50" w:after="156" w:afterLines="50" w:line="360" w:lineRule="exact"/>
        <w:ind w:firstLine="420" w:firstLineChars="200"/>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一方面铝试剂分光光度法用到的试剂种类多</w:t>
      </w:r>
      <w:r>
        <w:rPr>
          <w:rFonts w:hint="eastAsia" w:cs="Times New Roman"/>
          <w:color w:val="000000"/>
          <w:lang w:val="en-US" w:eastAsia="zh-CN"/>
        </w:rPr>
        <w:t>达12种且多数为化学实验室不常用试剂，购买受限；其次，操作过程较长，对实验人员的要求较高，准确度不易稳定。鉴于以上，目前企业均不采用该方法，随着仪器设备的更新，ICP方法已经在氧化铁测定中予以应用，其中的镍、锰、硅等均采用ICP方法，一次性溶样后进行测定，方便快捷。本次修订采用ICP法。</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hint="eastAsia" w:ascii="黑体" w:eastAsia="黑体"/>
          <w:color w:val="000000"/>
          <w:lang w:val="en-US" w:eastAsia="zh-CN"/>
        </w:rPr>
      </w:pPr>
      <w:r>
        <w:rPr>
          <w:rFonts w:hint="eastAsia" w:ascii="黑体" w:eastAsia="黑体"/>
          <w:color w:val="auto"/>
        </w:rPr>
        <w:t>7.4.</w:t>
      </w:r>
      <w:r>
        <w:rPr>
          <w:rFonts w:hint="eastAsia" w:ascii="黑体" w:eastAsia="黑体"/>
          <w:color w:val="auto"/>
          <w:lang w:val="en-US" w:eastAsia="zh-CN"/>
        </w:rPr>
        <w:t>8</w:t>
      </w:r>
      <w:r>
        <w:rPr>
          <w:rFonts w:hint="eastAsia" w:ascii="黑体" w:eastAsia="黑体"/>
          <w:color w:val="auto"/>
        </w:rPr>
        <w:t xml:space="preserve"> </w:t>
      </w:r>
      <w:r>
        <w:rPr>
          <w:rFonts w:hint="eastAsia" w:ascii="黑体" w:eastAsia="黑体"/>
          <w:color w:val="auto"/>
          <w:highlight w:val="none"/>
          <w:lang w:val="en-US" w:eastAsia="zh-CN"/>
        </w:rPr>
        <w:t xml:space="preserve"> </w:t>
      </w:r>
      <w:r>
        <w:rPr>
          <w:rFonts w:hint="eastAsia" w:ascii="黑体" w:eastAsia="黑体"/>
          <w:color w:val="000000"/>
          <w:highlight w:val="none"/>
          <w:lang w:val="en-US" w:eastAsia="zh-CN"/>
        </w:rPr>
        <w:t>铬含量的测定</w:t>
      </w:r>
    </w:p>
    <w:p>
      <w:pPr>
        <w:pStyle w:val="19"/>
        <w:spacing w:line="360" w:lineRule="exact"/>
        <w:rPr>
          <w:rFonts w:hint="eastAsia"/>
        </w:rPr>
      </w:pPr>
      <w:r>
        <w:rPr>
          <w:rFonts w:hint="eastAsia" w:cs="Times New Roman"/>
          <w:color w:val="000000"/>
          <w:lang w:val="en-US" w:eastAsia="zh-CN"/>
        </w:rPr>
        <w:t>本次修订新增</w:t>
      </w: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3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新能源电池</w:t>
      </w:r>
      <w:r>
        <w:rPr>
          <w:rFonts w:hint="default" w:ascii="Times New Roman" w:hAnsi="Times New Roman" w:cs="Times New Roman"/>
          <w:szCs w:val="21"/>
          <w:lang w:val="en-US" w:eastAsia="zh-CN"/>
        </w:rPr>
        <w:t>铁源</w:t>
      </w:r>
      <w:r>
        <w:rPr>
          <w:rFonts w:hint="eastAsia" w:ascii="Times New Roman" w:hAnsi="Times New Roman" w:cs="Times New Roman"/>
          <w:szCs w:val="21"/>
          <w:lang w:val="en-US" w:eastAsia="zh-CN"/>
        </w:rPr>
        <w:t>用途，铬含量在10%</w:t>
      </w:r>
      <w:r>
        <w:rPr>
          <w:rFonts w:hint="eastAsia" w:ascii="宋体" w:hAnsi="宋体" w:eastAsia="宋体" w:cs="宋体"/>
          <w:szCs w:val="21"/>
          <w:lang w:val="en-US" w:eastAsia="zh-CN"/>
        </w:rPr>
        <w:t>～</w:t>
      </w:r>
      <w:r>
        <w:rPr>
          <w:rFonts w:hint="eastAsia" w:ascii="Times New Roman" w:hAnsi="Times New Roman" w:cs="Times New Roman"/>
          <w:szCs w:val="21"/>
          <w:lang w:val="en-US" w:eastAsia="zh-CN"/>
        </w:rPr>
        <w:t>20%，本次修订采用方法：</w:t>
      </w:r>
      <w:r>
        <w:rPr>
          <w:rFonts w:hint="eastAsia" w:ascii="Times New Roman"/>
        </w:rPr>
        <w:t>在酸性溶液中，以银盐作催化剂，加入过硫酸铵将三价铬全部氧化成六价铬。加入硫酸锰，判断铬元素是否全部氧化成六价铬。加入氯化钠溶液除去锰酸根先于六价铬被硫酸亚铁铵还原出现的紫色干扰，</w:t>
      </w:r>
      <w:r>
        <w:rPr>
          <w:rFonts w:hint="eastAsia"/>
        </w:rPr>
        <w:t>在冷却的硫磷混酸介质溶液中，</w:t>
      </w:r>
      <w:r>
        <w:rPr>
          <w:rFonts w:ascii="Times New Roman"/>
        </w:rPr>
        <w:t>以</w:t>
      </w:r>
      <w:r>
        <w:rPr>
          <w:rFonts w:ascii="Times New Roman"/>
          <w:i/>
          <w:iCs/>
        </w:rPr>
        <w:t>N</w:t>
      </w:r>
      <w:r>
        <w:rPr>
          <w:rFonts w:hAnsi="宋体"/>
        </w:rPr>
        <w:t>-</w:t>
      </w:r>
      <w:r>
        <w:rPr>
          <w:rFonts w:hint="eastAsia"/>
        </w:rPr>
        <w:t>苯代邻氨基苯甲酸为指示剂，用硫酸亚铁铵标准滴定溶液滴定，测定总铬含量。</w:t>
      </w:r>
    </w:p>
    <w:p>
      <w:pPr>
        <w:adjustRightInd/>
        <w:spacing w:line="360" w:lineRule="exact"/>
        <w:ind w:firstLine="420" w:firstLineChars="200"/>
        <w:rPr>
          <w:rFonts w:hint="eastAsia"/>
          <w:lang w:val="en-US" w:eastAsia="zh-CN"/>
        </w:rPr>
      </w:pPr>
      <w:r>
        <w:rPr>
          <w:rFonts w:hint="eastAsia"/>
          <w:lang w:val="en-US" w:eastAsia="zh-CN"/>
        </w:rPr>
        <w:t>本次修订直接引用《</w:t>
      </w:r>
      <w:r>
        <w:rPr>
          <w:rFonts w:hint="eastAsia" w:ascii="Times New Roman"/>
          <w:lang w:val="en-US" w:eastAsia="zh-CN"/>
        </w:rPr>
        <w:t>含镍生铁</w:t>
      </w:r>
      <w:r>
        <w:rPr>
          <w:rFonts w:hint="eastAsia"/>
          <w:lang w:val="en-US" w:eastAsia="zh-CN"/>
        </w:rPr>
        <w:t xml:space="preserve"> </w:t>
      </w:r>
      <w:r>
        <w:rPr>
          <w:rFonts w:hint="eastAsia" w:ascii="Times New Roman"/>
          <w:lang w:val="en-US" w:eastAsia="zh-CN"/>
        </w:rPr>
        <w:t>铬含量的测定</w:t>
      </w:r>
      <w:r>
        <w:rPr>
          <w:rFonts w:hint="eastAsia"/>
          <w:lang w:val="en-US" w:eastAsia="zh-CN"/>
        </w:rPr>
        <w:t xml:space="preserve"> </w:t>
      </w:r>
      <w:r>
        <w:rPr>
          <w:rFonts w:hint="eastAsia" w:ascii="Times New Roman"/>
          <w:lang w:val="en-US" w:eastAsia="zh-CN"/>
        </w:rPr>
        <w:t>过硫酸铵-硫酸亚铁铵滴定法</w:t>
      </w:r>
      <w:r>
        <w:rPr>
          <w:rFonts w:hint="eastAsia"/>
          <w:lang w:val="en-US" w:eastAsia="zh-CN"/>
        </w:rPr>
        <w:t>》</w:t>
      </w:r>
      <w:r>
        <w:rPr>
          <w:rFonts w:hint="eastAsia" w:ascii="Times New Roman"/>
          <w:lang w:val="en-US" w:eastAsia="zh-CN"/>
        </w:rPr>
        <w:t>GB/T 32784</w:t>
      </w:r>
      <w:r>
        <w:rPr>
          <w:rFonts w:hint="eastAsia"/>
          <w:lang w:val="en-US" w:eastAsia="zh-CN"/>
        </w:rPr>
        <w:t>标准。</w:t>
      </w:r>
    </w:p>
    <w:p>
      <w:pPr>
        <w:pStyle w:val="19"/>
        <w:spacing w:line="360" w:lineRule="exact"/>
        <w:rPr>
          <w:rFonts w:hint="eastAsia"/>
          <w:lang w:val="en-US" w:eastAsia="zh-CN"/>
        </w:rPr>
      </w:pPr>
      <w:r>
        <w:rPr>
          <w:rFonts w:hint="eastAsia"/>
          <w:lang w:val="en-US" w:eastAsia="zh-CN"/>
        </w:rPr>
        <w:t>该方法是测定总铬的经典方法，多批次产品测定结果如下：</w:t>
      </w:r>
    </w:p>
    <w:p>
      <w:pPr>
        <w:spacing w:line="360" w:lineRule="exact"/>
        <w:ind w:firstLine="430"/>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表</w:t>
      </w:r>
      <w:r>
        <w:rPr>
          <w:rFonts w:hint="eastAsia" w:ascii="黑体" w:hAnsi="黑体" w:eastAsia="黑体" w:cs="宋体"/>
          <w:color w:val="000000"/>
          <w:kern w:val="0"/>
          <w:szCs w:val="21"/>
          <w:lang w:val="en-US" w:eastAsia="zh-CN"/>
        </w:rPr>
        <w:t>3</w:t>
      </w:r>
      <w:r>
        <w:rPr>
          <w:rFonts w:ascii="黑体" w:hAnsi="黑体" w:eastAsia="黑体" w:cs="宋体"/>
          <w:color w:val="000000"/>
          <w:kern w:val="0"/>
          <w:szCs w:val="21"/>
        </w:rPr>
        <w:t xml:space="preserve"> </w:t>
      </w:r>
      <w:r>
        <w:rPr>
          <w:rFonts w:hint="eastAsia" w:ascii="黑体" w:hAnsi="黑体" w:eastAsia="黑体" w:cs="宋体"/>
          <w:color w:val="000000"/>
          <w:kern w:val="0"/>
          <w:szCs w:val="21"/>
        </w:rPr>
        <w:t>同一样品测定的8次平行试验</w:t>
      </w:r>
      <w:r>
        <w:rPr>
          <w:rFonts w:hint="default" w:ascii="黑体" w:hAnsi="黑体" w:eastAsia="黑体" w:cs="宋体"/>
          <w:color w:val="000000"/>
          <w:kern w:val="0"/>
          <w:szCs w:val="21"/>
          <w:lang w:eastAsia="zh-CN"/>
        </w:rPr>
        <w:t>（</w:t>
      </w:r>
      <w:r>
        <w:rPr>
          <w:rFonts w:hint="eastAsia" w:ascii="黑体" w:hAnsi="黑体" w:eastAsia="黑体" w:cs="宋体"/>
          <w:color w:val="000000"/>
          <w:kern w:val="0"/>
          <w:szCs w:val="21"/>
          <w:lang w:val="en-US" w:eastAsia="zh-CN"/>
        </w:rPr>
        <w:t>三氧化二铬</w:t>
      </w:r>
      <w:r>
        <w:rPr>
          <w:rFonts w:hint="default" w:ascii="Times New Roman" w:hAnsi="Times New Roman" w:eastAsia="黑体" w:cs="Times New Roman"/>
          <w:i/>
          <w:iCs/>
          <w:color w:val="000000"/>
          <w:kern w:val="0"/>
          <w:szCs w:val="21"/>
        </w:rPr>
        <w:t>w</w:t>
      </w:r>
      <w:r>
        <w:rPr>
          <w:rFonts w:hint="default" w:ascii="黑体" w:hAnsi="黑体" w:eastAsia="黑体" w:cs="宋体"/>
          <w:color w:val="000000"/>
          <w:kern w:val="0"/>
          <w:szCs w:val="21"/>
        </w:rPr>
        <w:t>/%</w:t>
      </w:r>
      <w:r>
        <w:rPr>
          <w:rFonts w:hint="default" w:ascii="黑体" w:hAnsi="黑体" w:eastAsia="黑体" w:cs="宋体"/>
          <w:color w:val="000000"/>
          <w:kern w:val="0"/>
          <w:szCs w:val="21"/>
          <w:lang w:eastAsia="zh-CN"/>
        </w:rPr>
        <w:t>）</w:t>
      </w:r>
    </w:p>
    <w:tbl>
      <w:tblPr>
        <w:tblStyle w:val="10"/>
        <w:tblW w:w="4805" w:type="pct"/>
        <w:jc w:val="center"/>
        <w:tblLayout w:type="autofit"/>
        <w:tblCellMar>
          <w:top w:w="0" w:type="dxa"/>
          <w:left w:w="108" w:type="dxa"/>
          <w:bottom w:w="0" w:type="dxa"/>
          <w:right w:w="108" w:type="dxa"/>
        </w:tblCellMar>
      </w:tblPr>
      <w:tblGrid>
        <w:gridCol w:w="1736"/>
        <w:gridCol w:w="737"/>
        <w:gridCol w:w="737"/>
        <w:gridCol w:w="742"/>
        <w:gridCol w:w="742"/>
        <w:gridCol w:w="742"/>
        <w:gridCol w:w="744"/>
        <w:gridCol w:w="744"/>
        <w:gridCol w:w="744"/>
        <w:gridCol w:w="744"/>
        <w:gridCol w:w="760"/>
        <w:gridCol w:w="734"/>
      </w:tblGrid>
      <w:tr>
        <w:tblPrEx>
          <w:tblCellMar>
            <w:top w:w="0" w:type="dxa"/>
            <w:left w:w="108" w:type="dxa"/>
            <w:bottom w:w="0" w:type="dxa"/>
            <w:right w:w="108" w:type="dxa"/>
          </w:tblCellMar>
        </w:tblPrEx>
        <w:trPr>
          <w:trHeight w:val="280" w:hRule="atLeast"/>
          <w:jc w:val="center"/>
        </w:trPr>
        <w:tc>
          <w:tcPr>
            <w:tcW w:w="876"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eastAsia="等线"/>
                <w:color w:val="000000"/>
                <w:kern w:val="0"/>
                <w:sz w:val="18"/>
                <w:szCs w:val="18"/>
              </w:rPr>
            </w:pPr>
            <w:r>
              <w:rPr>
                <w:rFonts w:hint="eastAsia" w:eastAsia="等线"/>
                <w:color w:val="000000"/>
                <w:kern w:val="0"/>
                <w:sz w:val="18"/>
                <w:szCs w:val="18"/>
              </w:rPr>
              <w:t>样品</w:t>
            </w:r>
          </w:p>
        </w:tc>
        <w:tc>
          <w:tcPr>
            <w:tcW w:w="37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1</w:t>
            </w:r>
          </w:p>
        </w:tc>
        <w:tc>
          <w:tcPr>
            <w:tcW w:w="37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2</w:t>
            </w:r>
          </w:p>
        </w:tc>
        <w:tc>
          <w:tcPr>
            <w:tcW w:w="3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3</w:t>
            </w:r>
          </w:p>
        </w:tc>
        <w:tc>
          <w:tcPr>
            <w:tcW w:w="3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4</w:t>
            </w:r>
          </w:p>
        </w:tc>
        <w:tc>
          <w:tcPr>
            <w:tcW w:w="3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5</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6</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7</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8</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均值</w:t>
            </w:r>
          </w:p>
        </w:tc>
        <w:tc>
          <w:tcPr>
            <w:tcW w:w="38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标准偏差</w:t>
            </w: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R</w:t>
            </w:r>
            <w:r>
              <w:rPr>
                <w:rFonts w:ascii="宋体" w:hAnsi="宋体" w:cs="宋体"/>
                <w:color w:val="000000"/>
                <w:kern w:val="0"/>
                <w:sz w:val="18"/>
                <w:szCs w:val="18"/>
              </w:rPr>
              <w:t>SD</w:t>
            </w:r>
          </w:p>
        </w:tc>
      </w:tr>
      <w:tr>
        <w:tblPrEx>
          <w:tblCellMar>
            <w:top w:w="0" w:type="dxa"/>
            <w:left w:w="108" w:type="dxa"/>
            <w:bottom w:w="0" w:type="dxa"/>
            <w:right w:w="108" w:type="dxa"/>
          </w:tblCellMar>
        </w:tblPrEx>
        <w:trPr>
          <w:trHeight w:val="280" w:hRule="atLeast"/>
          <w:jc w:val="center"/>
        </w:trPr>
        <w:tc>
          <w:tcPr>
            <w:tcW w:w="87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jc w:val="center"/>
              <w:rPr>
                <w:rFonts w:hint="eastAsia" w:eastAsia="等线"/>
                <w:color w:val="000000"/>
                <w:kern w:val="0"/>
                <w:sz w:val="18"/>
                <w:szCs w:val="18"/>
                <w:lang w:val="en-US" w:eastAsia="zh-CN"/>
              </w:rPr>
            </w:pPr>
            <w:r>
              <w:rPr>
                <w:rFonts w:hint="eastAsia" w:eastAsia="等线"/>
                <w:color w:val="000000"/>
                <w:kern w:val="0"/>
                <w:sz w:val="18"/>
                <w:szCs w:val="18"/>
                <w:lang w:val="en-US" w:eastAsia="zh-CN"/>
              </w:rPr>
              <w:t>1</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11.35 </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10.61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11.31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10.76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11.33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10.81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11.24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10.96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11.05 </w:t>
            </w:r>
          </w:p>
        </w:tc>
        <w:tc>
          <w:tcPr>
            <w:tcW w:w="7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0.30 </w:t>
            </w: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eastAsia="等线"/>
                <w:color w:val="000000"/>
                <w:kern w:val="0"/>
                <w:sz w:val="18"/>
                <w:szCs w:val="18"/>
                <w:lang w:val="en-US" w:eastAsia="zh-CN"/>
              </w:rPr>
            </w:pPr>
            <w:r>
              <w:rPr>
                <w:rFonts w:hint="eastAsia" w:eastAsia="等线"/>
                <w:color w:val="000000"/>
                <w:kern w:val="0"/>
                <w:sz w:val="18"/>
                <w:szCs w:val="18"/>
                <w:lang w:val="en-US" w:eastAsia="zh-CN"/>
              </w:rPr>
              <w:t>2.69%</w:t>
            </w:r>
          </w:p>
        </w:tc>
      </w:tr>
      <w:tr>
        <w:tblPrEx>
          <w:tblCellMar>
            <w:top w:w="0" w:type="dxa"/>
            <w:left w:w="108" w:type="dxa"/>
            <w:bottom w:w="0" w:type="dxa"/>
            <w:right w:w="108" w:type="dxa"/>
          </w:tblCellMar>
        </w:tblPrEx>
        <w:trPr>
          <w:trHeight w:val="280" w:hRule="atLeast"/>
          <w:jc w:val="center"/>
        </w:trPr>
        <w:tc>
          <w:tcPr>
            <w:tcW w:w="87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jc w:val="center"/>
              <w:rPr>
                <w:rFonts w:hint="default" w:eastAsia="等线"/>
                <w:color w:val="000000"/>
                <w:kern w:val="0"/>
                <w:sz w:val="18"/>
                <w:szCs w:val="18"/>
                <w:lang w:val="en-US" w:eastAsia="zh-CN"/>
              </w:rPr>
            </w:pPr>
            <w:r>
              <w:rPr>
                <w:rFonts w:hint="eastAsia" w:eastAsia="等线"/>
                <w:color w:val="000000"/>
                <w:kern w:val="0"/>
                <w:sz w:val="18"/>
                <w:szCs w:val="18"/>
                <w:lang w:val="en-US" w:eastAsia="zh-CN"/>
              </w:rPr>
              <w:t>2</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8.64 </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9.63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9.97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8.93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9.92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9.35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10.00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9.86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9.54 </w:t>
            </w:r>
          </w:p>
        </w:tc>
        <w:tc>
          <w:tcPr>
            <w:tcW w:w="7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0.52 </w:t>
            </w: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eastAsia="等线"/>
                <w:color w:val="000000"/>
                <w:kern w:val="0"/>
                <w:sz w:val="18"/>
                <w:szCs w:val="18"/>
                <w:lang w:val="en-US" w:eastAsia="zh-CN"/>
              </w:rPr>
            </w:pPr>
            <w:r>
              <w:rPr>
                <w:rFonts w:hint="eastAsia" w:eastAsia="等线"/>
                <w:color w:val="000000"/>
                <w:kern w:val="0"/>
                <w:sz w:val="18"/>
                <w:szCs w:val="18"/>
                <w:lang w:val="en-US" w:eastAsia="zh-CN"/>
              </w:rPr>
              <w:t>5.41%</w:t>
            </w:r>
          </w:p>
        </w:tc>
      </w:tr>
    </w:tbl>
    <w:p>
      <w:pPr>
        <w:pStyle w:val="38"/>
        <w:numPr>
          <w:ilvl w:val="2"/>
          <w:numId w:val="0"/>
        </w:numPr>
        <w:spacing w:before="120" w:after="120" w:line="360" w:lineRule="exact"/>
        <w:rPr>
          <w:rFonts w:hint="eastAsia" w:ascii="黑体" w:eastAsia="黑体"/>
          <w:color w:val="000000"/>
          <w:lang w:val="en-US" w:eastAsia="zh-CN"/>
        </w:rPr>
      </w:pPr>
      <w:r>
        <w:rPr>
          <w:rFonts w:hint="eastAsia" w:ascii="黑体" w:eastAsia="黑体"/>
          <w:color w:val="auto"/>
        </w:rPr>
        <w:t>7.4.</w:t>
      </w:r>
      <w:r>
        <w:rPr>
          <w:rFonts w:hint="eastAsia"/>
          <w:color w:val="auto"/>
          <w:lang w:val="en-US" w:eastAsia="zh-CN"/>
        </w:rPr>
        <w:t>8</w:t>
      </w:r>
      <w:r>
        <w:rPr>
          <w:rFonts w:hint="eastAsia" w:ascii="黑体" w:eastAsia="黑体"/>
          <w:color w:val="auto"/>
        </w:rPr>
        <w:t xml:space="preserve">  </w:t>
      </w:r>
      <w:r>
        <w:rPr>
          <w:rFonts w:hint="eastAsia" w:cs="Times New Roman"/>
          <w:lang w:val="en-US" w:eastAsia="zh-CN"/>
        </w:rPr>
        <w:t>硅、铝、</w:t>
      </w:r>
      <w:r>
        <w:rPr>
          <w:rFonts w:hint="eastAsia" w:cs="Times New Roman"/>
          <w:highlight w:val="none"/>
          <w:lang w:val="en-US" w:eastAsia="zh-CN"/>
        </w:rPr>
        <w:t>镍和锰</w:t>
      </w:r>
      <w:r>
        <w:rPr>
          <w:rFonts w:hint="eastAsia" w:hAnsi="Times New Roman" w:cs="Times New Roman"/>
          <w:highlight w:val="none"/>
          <w:lang w:val="en-US" w:eastAsia="zh-CN"/>
        </w:rPr>
        <w:t>含量的测定</w:t>
      </w:r>
    </w:p>
    <w:p>
      <w:pPr>
        <w:autoSpaceDE w:val="0"/>
        <w:autoSpaceDN w:val="0"/>
        <w:adjustRightInd w:val="0"/>
        <w:spacing w:before="156" w:beforeLines="50" w:after="156" w:afterLines="50" w:line="360" w:lineRule="exact"/>
        <w:ind w:firstLine="420" w:firstLineChars="200"/>
        <w:rPr>
          <w:rFonts w:hint="eastAsia" w:ascii="Times New Roman" w:hAnsi="Times New Roman" w:cs="Times New Roman"/>
          <w:szCs w:val="21"/>
          <w:lang w:val="en-US" w:eastAsia="zh-CN"/>
        </w:rPr>
      </w:pPr>
      <w:r>
        <w:rPr>
          <w:rFonts w:hint="eastAsia" w:cs="Times New Roman"/>
          <w:color w:val="000000"/>
          <w:lang w:val="en-US" w:eastAsia="zh-CN"/>
        </w:rPr>
        <w:t>本次修订新增</w:t>
      </w: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3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产品中镍、锰含量与之前</w:t>
      </w: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1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产品中的硅、铝含量采用ICP-OES仪器法测定，多批次产品测定结果如下：</w:t>
      </w:r>
    </w:p>
    <w:p>
      <w:pPr>
        <w:widowControl/>
        <w:tabs>
          <w:tab w:val="left" w:pos="360"/>
        </w:tabs>
        <w:spacing w:before="156" w:beforeLines="50"/>
        <w:jc w:val="center"/>
        <w:rPr>
          <w:rFonts w:hint="eastAsia" w:ascii="黑体" w:eastAsia="黑体"/>
          <w:kern w:val="0"/>
          <w:szCs w:val="20"/>
          <w:lang w:eastAsia="zh-CN"/>
        </w:rPr>
      </w:pPr>
      <w:r>
        <w:rPr>
          <w:rFonts w:ascii="黑体" w:eastAsia="黑体"/>
          <w:kern w:val="0"/>
          <w:szCs w:val="20"/>
        </w:rPr>
        <w:t>表</w:t>
      </w:r>
      <w:r>
        <w:rPr>
          <w:rFonts w:hint="eastAsia" w:ascii="黑体" w:eastAsia="黑体"/>
          <w:kern w:val="0"/>
          <w:szCs w:val="20"/>
          <w:lang w:val="en-US" w:eastAsia="zh-CN"/>
        </w:rPr>
        <w:t>4</w:t>
      </w:r>
      <w:r>
        <w:rPr>
          <w:rFonts w:ascii="黑体" w:eastAsia="黑体"/>
          <w:kern w:val="0"/>
          <w:szCs w:val="20"/>
        </w:rPr>
        <w:t xml:space="preserve">  样品测定结果</w:t>
      </w:r>
      <w:r>
        <w:rPr>
          <w:rFonts w:hint="eastAsia" w:ascii="黑体" w:eastAsia="黑体"/>
          <w:kern w:val="0"/>
          <w:szCs w:val="20"/>
          <w:lang w:eastAsia="zh-CN"/>
        </w:rPr>
        <w:t>（</w:t>
      </w:r>
      <w:r>
        <w:rPr>
          <w:rFonts w:hint="eastAsia" w:ascii="黑体" w:eastAsia="黑体"/>
          <w:kern w:val="0"/>
          <w:szCs w:val="20"/>
          <w:lang w:val="en-US" w:eastAsia="zh-CN"/>
        </w:rPr>
        <w:t>8平行</w:t>
      </w:r>
      <w:r>
        <w:rPr>
          <w:rFonts w:hint="eastAsia" w:ascii="黑体" w:eastAsia="黑体"/>
          <w:kern w:val="0"/>
          <w:szCs w:val="20"/>
          <w:lang w:eastAsia="zh-CN"/>
        </w:rPr>
        <w:t>）</w:t>
      </w:r>
    </w:p>
    <w:tbl>
      <w:tblPr>
        <w:tblStyle w:val="10"/>
        <w:tblW w:w="49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459"/>
        <w:gridCol w:w="865"/>
        <w:gridCol w:w="865"/>
        <w:gridCol w:w="876"/>
        <w:gridCol w:w="873"/>
        <w:gridCol w:w="873"/>
        <w:gridCol w:w="873"/>
        <w:gridCol w:w="873"/>
        <w:gridCol w:w="905"/>
        <w:gridCol w:w="971"/>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gridSpan w:val="2"/>
            <w:noWrap w:val="0"/>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元素</w:t>
            </w:r>
          </w:p>
        </w:tc>
        <w:tc>
          <w:tcPr>
            <w:tcW w:w="3407" w:type="pct"/>
            <w:gridSpan w:val="8"/>
            <w:noWrap w:val="0"/>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测定值/mg/L</w:t>
            </w:r>
          </w:p>
        </w:tc>
        <w:tc>
          <w:tcPr>
            <w:tcW w:w="472" w:type="pct"/>
            <w:noWrap w:val="0"/>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平均值mg/L</w:t>
            </w:r>
          </w:p>
        </w:tc>
        <w:tc>
          <w:tcPr>
            <w:tcW w:w="447" w:type="pct"/>
            <w:noWrap w:val="0"/>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RSD%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Merge w:val="restart"/>
            <w:noWrap w:val="0"/>
            <w:vAlign w:val="bottom"/>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镍</w:t>
            </w:r>
            <w:r>
              <w:rPr>
                <w:rFonts w:hint="default" w:ascii="Times New Roman" w:hAnsi="Times New Roman" w:eastAsia="宋体" w:cs="Times New Roman"/>
                <w:sz w:val="18"/>
                <w:szCs w:val="18"/>
              </w:rPr>
              <w:t>（</w:t>
            </w:r>
            <w:r>
              <w:rPr>
                <w:rFonts w:hint="default" w:ascii="Times New Roman" w:hAnsi="Times New Roman" w:eastAsia="宋体" w:cs="Times New Roman"/>
                <w:color w:val="000000"/>
                <w:sz w:val="18"/>
                <w:szCs w:val="18"/>
                <w:lang w:val="en-US" w:eastAsia="zh-CN"/>
              </w:rPr>
              <w:t>以</w:t>
            </w:r>
            <w:r>
              <w:rPr>
                <w:rFonts w:hint="default" w:ascii="Times New Roman" w:hAnsi="Times New Roman" w:eastAsia="宋体" w:cs="Times New Roman"/>
                <w:sz w:val="18"/>
                <w:szCs w:val="18"/>
                <w:lang w:val="en-US" w:eastAsia="zh-CN"/>
              </w:rPr>
              <w:t>Ni</w:t>
            </w:r>
            <w:r>
              <w:rPr>
                <w:rFonts w:hint="default" w:ascii="Times New Roman" w:hAnsi="Times New Roman" w:eastAsia="宋体" w:cs="Times New Roman"/>
                <w:sz w:val="18"/>
                <w:szCs w:val="18"/>
              </w:rPr>
              <w:t>O</w:t>
            </w:r>
            <w:r>
              <w:rPr>
                <w:rFonts w:hint="default" w:ascii="Times New Roman" w:hAnsi="Times New Roman" w:eastAsia="宋体" w:cs="Times New Roman"/>
                <w:sz w:val="18"/>
                <w:szCs w:val="18"/>
                <w:vertAlign w:val="baseline"/>
                <w:lang w:val="en-US" w:eastAsia="zh-CN"/>
              </w:rPr>
              <w:t>计</w:t>
            </w:r>
            <w:r>
              <w:rPr>
                <w:rFonts w:hint="default" w:ascii="Times New Roman" w:hAnsi="Times New Roman" w:eastAsia="宋体" w:cs="Times New Roman"/>
                <w:sz w:val="18"/>
                <w:szCs w:val="18"/>
              </w:rPr>
              <w:t>）</w:t>
            </w:r>
          </w:p>
        </w:tc>
        <w:tc>
          <w:tcPr>
            <w:tcW w:w="223" w:type="pct"/>
            <w:noWrap w:val="0"/>
            <w:vAlign w:val="bottom"/>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1</w:t>
            </w:r>
          </w:p>
        </w:tc>
        <w:tc>
          <w:tcPr>
            <w:tcW w:w="420"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0.09 </w:t>
            </w:r>
          </w:p>
        </w:tc>
        <w:tc>
          <w:tcPr>
            <w:tcW w:w="420"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0.08 </w:t>
            </w:r>
          </w:p>
        </w:tc>
        <w:tc>
          <w:tcPr>
            <w:tcW w:w="426"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0.08 </w:t>
            </w:r>
          </w:p>
        </w:tc>
        <w:tc>
          <w:tcPr>
            <w:tcW w:w="424"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0.08 </w:t>
            </w:r>
          </w:p>
        </w:tc>
        <w:tc>
          <w:tcPr>
            <w:tcW w:w="424"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0.07 </w:t>
            </w:r>
          </w:p>
        </w:tc>
        <w:tc>
          <w:tcPr>
            <w:tcW w:w="424"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0.08 </w:t>
            </w:r>
          </w:p>
        </w:tc>
        <w:tc>
          <w:tcPr>
            <w:tcW w:w="424"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0.08 </w:t>
            </w:r>
          </w:p>
        </w:tc>
        <w:tc>
          <w:tcPr>
            <w:tcW w:w="440"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0.08 </w:t>
            </w:r>
          </w:p>
        </w:tc>
        <w:tc>
          <w:tcPr>
            <w:tcW w:w="472" w:type="pct"/>
            <w:noWrap w:val="0"/>
            <w:vAlign w:val="center"/>
          </w:tcPr>
          <w:p>
            <w:pPr>
              <w:keepNext w:val="0"/>
              <w:keepLines w:val="0"/>
              <w:widowControl/>
              <w:suppressLineNumbers w:val="0"/>
              <w:jc w:val="righ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0.08 </w:t>
            </w:r>
          </w:p>
        </w:tc>
        <w:tc>
          <w:tcPr>
            <w:tcW w:w="447" w:type="pct"/>
            <w:noWrap w:val="0"/>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Merge w:val="continue"/>
            <w:noWrap w:val="0"/>
            <w:vAlign w:val="bottom"/>
          </w:tcPr>
          <w:p>
            <w:pPr>
              <w:jc w:val="center"/>
              <w:rPr>
                <w:rFonts w:hint="default" w:ascii="Times New Roman" w:hAnsi="Times New Roman" w:eastAsia="宋体" w:cs="Times New Roman"/>
                <w:color w:val="000000"/>
                <w:sz w:val="18"/>
                <w:szCs w:val="18"/>
              </w:rPr>
            </w:pPr>
          </w:p>
        </w:tc>
        <w:tc>
          <w:tcPr>
            <w:tcW w:w="223" w:type="pct"/>
            <w:noWrap w:val="0"/>
            <w:vAlign w:val="bottom"/>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2</w:t>
            </w:r>
          </w:p>
        </w:tc>
        <w:tc>
          <w:tcPr>
            <w:tcW w:w="420"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0.41 </w:t>
            </w:r>
          </w:p>
        </w:tc>
        <w:tc>
          <w:tcPr>
            <w:tcW w:w="420"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0.34 </w:t>
            </w:r>
          </w:p>
        </w:tc>
        <w:tc>
          <w:tcPr>
            <w:tcW w:w="426"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0.35 </w:t>
            </w:r>
          </w:p>
        </w:tc>
        <w:tc>
          <w:tcPr>
            <w:tcW w:w="424"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0.36 </w:t>
            </w:r>
          </w:p>
        </w:tc>
        <w:tc>
          <w:tcPr>
            <w:tcW w:w="424"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0.32 </w:t>
            </w:r>
          </w:p>
        </w:tc>
        <w:tc>
          <w:tcPr>
            <w:tcW w:w="424"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0.31 </w:t>
            </w:r>
          </w:p>
        </w:tc>
        <w:tc>
          <w:tcPr>
            <w:tcW w:w="424"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0.33 </w:t>
            </w:r>
          </w:p>
        </w:tc>
        <w:tc>
          <w:tcPr>
            <w:tcW w:w="440" w:type="pct"/>
            <w:noWrap w:val="0"/>
            <w:vAlign w:val="center"/>
          </w:tcPr>
          <w:p>
            <w:pPr>
              <w:keepNext w:val="0"/>
              <w:keepLines w:val="0"/>
              <w:widowControl/>
              <w:suppressLineNumbers w:val="0"/>
              <w:jc w:val="right"/>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0.27 </w:t>
            </w:r>
          </w:p>
        </w:tc>
        <w:tc>
          <w:tcPr>
            <w:tcW w:w="472" w:type="pct"/>
            <w:noWrap w:val="0"/>
            <w:vAlign w:val="center"/>
          </w:tcPr>
          <w:p>
            <w:pPr>
              <w:keepNext w:val="0"/>
              <w:keepLines w:val="0"/>
              <w:widowControl/>
              <w:suppressLineNumbers w:val="0"/>
              <w:jc w:val="righ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0.34 </w:t>
            </w:r>
          </w:p>
        </w:tc>
        <w:tc>
          <w:tcPr>
            <w:tcW w:w="447" w:type="pct"/>
            <w:noWrap w:val="0"/>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Merge w:val="restart"/>
            <w:noWrap w:val="0"/>
            <w:vAlign w:val="bottom"/>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锰（</w:t>
            </w:r>
            <w:r>
              <w:rPr>
                <w:rFonts w:hint="default" w:ascii="Times New Roman" w:hAnsi="Times New Roman" w:eastAsia="宋体" w:cs="Times New Roman"/>
                <w:color w:val="000000"/>
                <w:sz w:val="18"/>
                <w:szCs w:val="18"/>
                <w:lang w:val="en-US" w:eastAsia="zh-CN"/>
              </w:rPr>
              <w:t>以</w:t>
            </w:r>
            <w:r>
              <w:rPr>
                <w:rFonts w:hint="default" w:ascii="Times New Roman" w:hAnsi="Times New Roman" w:eastAsia="宋体" w:cs="Times New Roman"/>
                <w:sz w:val="18"/>
                <w:szCs w:val="18"/>
                <w:lang w:val="en-US" w:eastAsia="zh-CN"/>
              </w:rPr>
              <w:t>MnO</w:t>
            </w:r>
            <w:r>
              <w:rPr>
                <w:rFonts w:hint="default" w:ascii="Times New Roman" w:hAnsi="Times New Roman" w:eastAsia="宋体" w:cs="Times New Roman"/>
                <w:sz w:val="18"/>
                <w:szCs w:val="18"/>
                <w:vertAlign w:val="baseline"/>
                <w:lang w:val="en-US" w:eastAsia="zh-CN"/>
              </w:rPr>
              <w:t>计</w:t>
            </w:r>
            <w:r>
              <w:rPr>
                <w:rFonts w:hint="default" w:ascii="Times New Roman" w:hAnsi="Times New Roman" w:eastAsia="宋体" w:cs="Times New Roman"/>
                <w:sz w:val="18"/>
                <w:szCs w:val="18"/>
                <w:lang w:val="en-US" w:eastAsia="zh-CN"/>
              </w:rPr>
              <w:t>）</w:t>
            </w:r>
          </w:p>
        </w:tc>
        <w:tc>
          <w:tcPr>
            <w:tcW w:w="223" w:type="pct"/>
            <w:noWrap w:val="0"/>
            <w:vAlign w:val="bottom"/>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1</w:t>
            </w:r>
          </w:p>
        </w:tc>
        <w:tc>
          <w:tcPr>
            <w:tcW w:w="420"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0.36 </w:t>
            </w:r>
          </w:p>
        </w:tc>
        <w:tc>
          <w:tcPr>
            <w:tcW w:w="420"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0.35 </w:t>
            </w:r>
          </w:p>
        </w:tc>
        <w:tc>
          <w:tcPr>
            <w:tcW w:w="426"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0.38 </w:t>
            </w:r>
          </w:p>
        </w:tc>
        <w:tc>
          <w:tcPr>
            <w:tcW w:w="424"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0.35 </w:t>
            </w:r>
          </w:p>
        </w:tc>
        <w:tc>
          <w:tcPr>
            <w:tcW w:w="424"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0.35 </w:t>
            </w:r>
          </w:p>
        </w:tc>
        <w:tc>
          <w:tcPr>
            <w:tcW w:w="424"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0.34 </w:t>
            </w:r>
          </w:p>
        </w:tc>
        <w:tc>
          <w:tcPr>
            <w:tcW w:w="424"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0.33 </w:t>
            </w:r>
          </w:p>
        </w:tc>
        <w:tc>
          <w:tcPr>
            <w:tcW w:w="440"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0.32 </w:t>
            </w:r>
          </w:p>
        </w:tc>
        <w:tc>
          <w:tcPr>
            <w:tcW w:w="472" w:type="pct"/>
            <w:noWrap w:val="0"/>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0.35 </w:t>
            </w:r>
          </w:p>
        </w:tc>
        <w:tc>
          <w:tcPr>
            <w:tcW w:w="447" w:type="pct"/>
            <w:noWrap w:val="0"/>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Merge w:val="continue"/>
            <w:noWrap w:val="0"/>
            <w:vAlign w:val="bottom"/>
          </w:tcPr>
          <w:p>
            <w:pPr>
              <w:jc w:val="center"/>
              <w:rPr>
                <w:rFonts w:hint="default" w:ascii="Times New Roman" w:hAnsi="Times New Roman" w:eastAsia="宋体" w:cs="Times New Roman"/>
                <w:color w:val="000000"/>
                <w:sz w:val="18"/>
                <w:szCs w:val="18"/>
              </w:rPr>
            </w:pPr>
          </w:p>
        </w:tc>
        <w:tc>
          <w:tcPr>
            <w:tcW w:w="223" w:type="pct"/>
            <w:noWrap w:val="0"/>
            <w:vAlign w:val="bottom"/>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2</w:t>
            </w:r>
          </w:p>
        </w:tc>
        <w:tc>
          <w:tcPr>
            <w:tcW w:w="420"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3.2 </w:t>
            </w:r>
          </w:p>
        </w:tc>
        <w:tc>
          <w:tcPr>
            <w:tcW w:w="420"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3.5 </w:t>
            </w:r>
          </w:p>
        </w:tc>
        <w:tc>
          <w:tcPr>
            <w:tcW w:w="426"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3.8 </w:t>
            </w:r>
          </w:p>
        </w:tc>
        <w:tc>
          <w:tcPr>
            <w:tcW w:w="424"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3.4 </w:t>
            </w:r>
          </w:p>
        </w:tc>
        <w:tc>
          <w:tcPr>
            <w:tcW w:w="424"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3.4 </w:t>
            </w:r>
          </w:p>
        </w:tc>
        <w:tc>
          <w:tcPr>
            <w:tcW w:w="424"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3.3 </w:t>
            </w:r>
          </w:p>
        </w:tc>
        <w:tc>
          <w:tcPr>
            <w:tcW w:w="424"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3.6 </w:t>
            </w:r>
          </w:p>
        </w:tc>
        <w:tc>
          <w:tcPr>
            <w:tcW w:w="440" w:type="pct"/>
            <w:noWrap w:val="0"/>
            <w:vAlign w:val="center"/>
          </w:tcPr>
          <w:p>
            <w:pPr>
              <w:keepNext w:val="0"/>
              <w:keepLines w:val="0"/>
              <w:widowControl/>
              <w:suppressLineNumbers w:val="0"/>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3.1 </w:t>
            </w:r>
          </w:p>
        </w:tc>
        <w:tc>
          <w:tcPr>
            <w:tcW w:w="472" w:type="pct"/>
            <w:noWrap w:val="0"/>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3.4 </w:t>
            </w:r>
          </w:p>
        </w:tc>
        <w:tc>
          <w:tcPr>
            <w:tcW w:w="447" w:type="pct"/>
            <w:noWrap w:val="0"/>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6.67%</w:t>
            </w:r>
          </w:p>
        </w:tc>
      </w:tr>
    </w:tbl>
    <w:p>
      <w:pPr>
        <w:pStyle w:val="38"/>
        <w:numPr>
          <w:ilvl w:val="2"/>
          <w:numId w:val="0"/>
        </w:numPr>
        <w:spacing w:before="120" w:after="120" w:line="360" w:lineRule="exact"/>
        <w:rPr>
          <w:rFonts w:hint="eastAsia" w:ascii="黑体" w:eastAsia="黑体"/>
          <w:color w:val="000000"/>
          <w:lang w:val="en-US" w:eastAsia="zh-CN"/>
        </w:rPr>
      </w:pPr>
      <w:r>
        <w:rPr>
          <w:rFonts w:hint="eastAsia" w:ascii="黑体" w:eastAsia="黑体"/>
          <w:color w:val="auto"/>
        </w:rPr>
        <w:t>7.4.</w:t>
      </w:r>
      <w:r>
        <w:rPr>
          <w:rFonts w:hint="eastAsia"/>
          <w:color w:val="auto"/>
          <w:lang w:val="en-US" w:eastAsia="zh-CN"/>
        </w:rPr>
        <w:t>9</w:t>
      </w:r>
      <w:r>
        <w:rPr>
          <w:rFonts w:hint="eastAsia" w:ascii="黑体" w:eastAsia="黑体"/>
          <w:color w:val="auto"/>
        </w:rPr>
        <w:t xml:space="preserve">  </w:t>
      </w:r>
      <w:r>
        <w:rPr>
          <w:rFonts w:hint="eastAsia" w:cs="Times New Roman"/>
          <w:highlight w:val="none"/>
          <w:lang w:val="en-US" w:eastAsia="zh-CN"/>
        </w:rPr>
        <w:t>氟</w:t>
      </w:r>
      <w:r>
        <w:rPr>
          <w:rFonts w:hint="eastAsia" w:hAnsi="Times New Roman" w:cs="Times New Roman"/>
          <w:highlight w:val="none"/>
          <w:lang w:val="en-US" w:eastAsia="zh-CN"/>
        </w:rPr>
        <w:t>含量的测定</w:t>
      </w:r>
    </w:p>
    <w:p>
      <w:pPr>
        <w:autoSpaceDE w:val="0"/>
        <w:autoSpaceDN w:val="0"/>
        <w:adjustRightInd w:val="0"/>
        <w:spacing w:before="156" w:beforeLines="50" w:after="156" w:afterLines="50" w:line="360" w:lineRule="exact"/>
        <w:ind w:firstLine="420" w:firstLineChars="200"/>
        <w:rPr>
          <w:rFonts w:hint="default" w:ascii="Times New Roman" w:hAnsi="Times New Roman" w:cs="Times New Roman"/>
          <w:szCs w:val="21"/>
          <w:lang w:val="en-US" w:eastAsia="zh-CN"/>
        </w:rPr>
      </w:pPr>
      <w:r>
        <w:rPr>
          <w:rFonts w:hint="eastAsia" w:cs="Times New Roman"/>
          <w:color w:val="000000"/>
          <w:lang w:val="en-US" w:eastAsia="zh-CN"/>
        </w:rPr>
        <w:t>本次修订新增</w:t>
      </w: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3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产品要控制氟含量，避免氟元素在产业链中的传递，本次修订采用氟离子电极法，多批次产品测定结果如下：</w:t>
      </w:r>
    </w:p>
    <w:p>
      <w:pPr>
        <w:spacing w:line="360" w:lineRule="exact"/>
        <w:ind w:firstLine="430"/>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表</w:t>
      </w:r>
      <w:r>
        <w:rPr>
          <w:rFonts w:hint="eastAsia" w:ascii="黑体" w:hAnsi="黑体" w:eastAsia="黑体" w:cs="宋体"/>
          <w:color w:val="000000"/>
          <w:kern w:val="0"/>
          <w:szCs w:val="21"/>
          <w:lang w:val="en-US" w:eastAsia="zh-CN"/>
        </w:rPr>
        <w:t>5</w:t>
      </w:r>
      <w:r>
        <w:rPr>
          <w:rFonts w:ascii="黑体" w:hAnsi="黑体" w:eastAsia="黑体" w:cs="宋体"/>
          <w:color w:val="000000"/>
          <w:kern w:val="0"/>
          <w:szCs w:val="21"/>
        </w:rPr>
        <w:t xml:space="preserve"> </w:t>
      </w:r>
      <w:r>
        <w:rPr>
          <w:rFonts w:hint="eastAsia" w:ascii="黑体" w:hAnsi="黑体" w:eastAsia="黑体" w:cs="宋体"/>
          <w:color w:val="000000"/>
          <w:kern w:val="0"/>
          <w:szCs w:val="21"/>
        </w:rPr>
        <w:t>同一样品测定的8次平行试验</w:t>
      </w:r>
      <w:r>
        <w:rPr>
          <w:rFonts w:hint="default" w:ascii="黑体" w:hAnsi="黑体" w:eastAsia="黑体" w:cs="宋体"/>
          <w:color w:val="000000"/>
          <w:kern w:val="0"/>
          <w:szCs w:val="21"/>
          <w:lang w:eastAsia="zh-CN"/>
        </w:rPr>
        <w:t>（</w:t>
      </w:r>
      <w:r>
        <w:rPr>
          <w:rFonts w:hint="eastAsia" w:ascii="黑体" w:hAnsi="黑体" w:eastAsia="黑体" w:cs="宋体"/>
          <w:color w:val="000000"/>
          <w:kern w:val="0"/>
          <w:szCs w:val="21"/>
          <w:lang w:val="en-US" w:eastAsia="zh-CN"/>
        </w:rPr>
        <w:t>氟</w:t>
      </w:r>
      <w:r>
        <w:rPr>
          <w:rFonts w:hint="default" w:ascii="黑体" w:hAnsi="黑体" w:eastAsia="黑体" w:cs="宋体"/>
          <w:color w:val="000000"/>
          <w:kern w:val="0"/>
          <w:szCs w:val="21"/>
          <w:lang w:val="en-US" w:eastAsia="zh-CN"/>
        </w:rPr>
        <w:t>化物</w:t>
      </w:r>
      <w:r>
        <w:rPr>
          <w:rFonts w:hint="default" w:ascii="Times New Roman" w:hAnsi="Times New Roman" w:eastAsia="黑体" w:cs="Times New Roman"/>
          <w:i/>
          <w:iCs/>
          <w:color w:val="000000"/>
          <w:kern w:val="0"/>
          <w:szCs w:val="21"/>
        </w:rPr>
        <w:t>w</w:t>
      </w:r>
      <w:r>
        <w:rPr>
          <w:rFonts w:hint="default" w:ascii="黑体" w:hAnsi="黑体" w:eastAsia="黑体" w:cs="宋体"/>
          <w:color w:val="000000"/>
          <w:kern w:val="0"/>
          <w:szCs w:val="21"/>
        </w:rPr>
        <w:t>/%</w:t>
      </w:r>
      <w:r>
        <w:rPr>
          <w:rFonts w:hint="default" w:ascii="黑体" w:hAnsi="黑体" w:eastAsia="黑体" w:cs="宋体"/>
          <w:color w:val="000000"/>
          <w:kern w:val="0"/>
          <w:szCs w:val="21"/>
          <w:lang w:eastAsia="zh-CN"/>
        </w:rPr>
        <w:t>）</w:t>
      </w:r>
    </w:p>
    <w:tbl>
      <w:tblPr>
        <w:tblStyle w:val="10"/>
        <w:tblW w:w="4806" w:type="pct"/>
        <w:jc w:val="center"/>
        <w:tblLayout w:type="autofit"/>
        <w:tblCellMar>
          <w:top w:w="0" w:type="dxa"/>
          <w:left w:w="108" w:type="dxa"/>
          <w:bottom w:w="0" w:type="dxa"/>
          <w:right w:w="108" w:type="dxa"/>
        </w:tblCellMar>
      </w:tblPr>
      <w:tblGrid>
        <w:gridCol w:w="1734"/>
        <w:gridCol w:w="734"/>
        <w:gridCol w:w="734"/>
        <w:gridCol w:w="738"/>
        <w:gridCol w:w="738"/>
        <w:gridCol w:w="738"/>
        <w:gridCol w:w="741"/>
        <w:gridCol w:w="741"/>
        <w:gridCol w:w="741"/>
        <w:gridCol w:w="741"/>
        <w:gridCol w:w="757"/>
        <w:gridCol w:w="771"/>
      </w:tblGrid>
      <w:tr>
        <w:tblPrEx>
          <w:tblCellMar>
            <w:top w:w="0" w:type="dxa"/>
            <w:left w:w="108" w:type="dxa"/>
            <w:bottom w:w="0" w:type="dxa"/>
            <w:right w:w="108" w:type="dxa"/>
          </w:tblCellMar>
        </w:tblPrEx>
        <w:trPr>
          <w:trHeight w:val="280" w:hRule="atLeast"/>
          <w:jc w:val="center"/>
        </w:trPr>
        <w:tc>
          <w:tcPr>
            <w:tcW w:w="876"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eastAsia="等线"/>
                <w:color w:val="000000"/>
                <w:kern w:val="0"/>
                <w:sz w:val="18"/>
                <w:szCs w:val="18"/>
              </w:rPr>
            </w:pPr>
            <w:r>
              <w:rPr>
                <w:rFonts w:hint="eastAsia" w:eastAsia="等线"/>
                <w:color w:val="000000"/>
                <w:kern w:val="0"/>
                <w:sz w:val="18"/>
                <w:szCs w:val="18"/>
              </w:rPr>
              <w:t>样品</w:t>
            </w:r>
          </w:p>
        </w:tc>
        <w:tc>
          <w:tcPr>
            <w:tcW w:w="37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1</w:t>
            </w:r>
          </w:p>
        </w:tc>
        <w:tc>
          <w:tcPr>
            <w:tcW w:w="37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2</w:t>
            </w:r>
          </w:p>
        </w:tc>
        <w:tc>
          <w:tcPr>
            <w:tcW w:w="3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3</w:t>
            </w:r>
          </w:p>
        </w:tc>
        <w:tc>
          <w:tcPr>
            <w:tcW w:w="3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4</w:t>
            </w:r>
          </w:p>
        </w:tc>
        <w:tc>
          <w:tcPr>
            <w:tcW w:w="3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5</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6</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7</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8</w:t>
            </w:r>
          </w:p>
        </w:tc>
        <w:tc>
          <w:tcPr>
            <w:tcW w:w="3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均值</w:t>
            </w:r>
          </w:p>
        </w:tc>
        <w:tc>
          <w:tcPr>
            <w:tcW w:w="38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标准偏差</w:t>
            </w:r>
          </w:p>
        </w:tc>
        <w:tc>
          <w:tcPr>
            <w:tcW w:w="37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R</w:t>
            </w:r>
            <w:r>
              <w:rPr>
                <w:rFonts w:ascii="宋体" w:hAnsi="宋体" w:cs="宋体"/>
                <w:color w:val="000000"/>
                <w:kern w:val="0"/>
                <w:sz w:val="18"/>
                <w:szCs w:val="18"/>
              </w:rPr>
              <w:t>SD</w:t>
            </w:r>
          </w:p>
        </w:tc>
      </w:tr>
      <w:tr>
        <w:tblPrEx>
          <w:tblCellMar>
            <w:top w:w="0" w:type="dxa"/>
            <w:left w:w="108" w:type="dxa"/>
            <w:bottom w:w="0" w:type="dxa"/>
            <w:right w:w="108" w:type="dxa"/>
          </w:tblCellMar>
        </w:tblPrEx>
        <w:trPr>
          <w:trHeight w:val="280" w:hRule="atLeast"/>
          <w:jc w:val="center"/>
        </w:trPr>
        <w:tc>
          <w:tcPr>
            <w:tcW w:w="87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jc w:val="center"/>
              <w:rPr>
                <w:rFonts w:hint="eastAsia" w:eastAsia="等线"/>
                <w:color w:val="000000"/>
                <w:kern w:val="0"/>
                <w:sz w:val="18"/>
                <w:szCs w:val="18"/>
                <w:lang w:val="en-US" w:eastAsia="zh-CN"/>
              </w:rPr>
            </w:pPr>
            <w:r>
              <w:rPr>
                <w:rFonts w:hint="eastAsia" w:eastAsia="等线"/>
                <w:color w:val="000000"/>
                <w:kern w:val="0"/>
                <w:sz w:val="18"/>
                <w:szCs w:val="18"/>
                <w:lang w:val="en-US" w:eastAsia="zh-CN"/>
              </w:rPr>
              <w:t>1</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0.0153 </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0.0154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0.0154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0.0133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0.0168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0.0159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0.0124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0.0163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0.0151 </w:t>
            </w:r>
          </w:p>
        </w:tc>
        <w:tc>
          <w:tcPr>
            <w:tcW w:w="7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0.0015 </w:t>
            </w: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eastAsia="等线"/>
                <w:color w:val="000000"/>
                <w:kern w:val="0"/>
                <w:sz w:val="18"/>
                <w:szCs w:val="18"/>
                <w:lang w:val="en-US" w:eastAsia="zh-CN"/>
              </w:rPr>
            </w:pPr>
            <w:r>
              <w:rPr>
                <w:rFonts w:hint="eastAsia" w:eastAsia="等线"/>
                <w:color w:val="000000"/>
                <w:kern w:val="0"/>
                <w:sz w:val="18"/>
                <w:szCs w:val="18"/>
                <w:lang w:val="en-US" w:eastAsia="zh-CN"/>
              </w:rPr>
              <w:t>9.92%</w:t>
            </w:r>
          </w:p>
        </w:tc>
      </w:tr>
      <w:tr>
        <w:tblPrEx>
          <w:tblCellMar>
            <w:top w:w="0" w:type="dxa"/>
            <w:left w:w="108" w:type="dxa"/>
            <w:bottom w:w="0" w:type="dxa"/>
            <w:right w:w="108" w:type="dxa"/>
          </w:tblCellMar>
        </w:tblPrEx>
        <w:trPr>
          <w:trHeight w:val="280" w:hRule="atLeast"/>
          <w:jc w:val="center"/>
        </w:trPr>
        <w:tc>
          <w:tcPr>
            <w:tcW w:w="87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jc w:val="center"/>
              <w:rPr>
                <w:rFonts w:hint="default" w:eastAsia="等线"/>
                <w:color w:val="000000"/>
                <w:kern w:val="0"/>
                <w:sz w:val="18"/>
                <w:szCs w:val="18"/>
                <w:lang w:val="en-US" w:eastAsia="zh-CN"/>
              </w:rPr>
            </w:pPr>
            <w:r>
              <w:rPr>
                <w:rFonts w:hint="eastAsia" w:eastAsia="等线"/>
                <w:color w:val="000000"/>
                <w:kern w:val="0"/>
                <w:sz w:val="18"/>
                <w:szCs w:val="18"/>
                <w:lang w:val="en-US" w:eastAsia="zh-CN"/>
              </w:rPr>
              <w:t>2</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0.1427 </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0.1653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0.1844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0.1807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0.1407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0.1823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0.1856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0.1833 </w:t>
            </w:r>
          </w:p>
        </w:tc>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0.1706 </w:t>
            </w:r>
          </w:p>
        </w:tc>
        <w:tc>
          <w:tcPr>
            <w:tcW w:w="7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eastAsia="等线"/>
                <w:color w:val="000000"/>
                <w:kern w:val="0"/>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0.0190 </w:t>
            </w:r>
          </w:p>
        </w:tc>
        <w:tc>
          <w:tcPr>
            <w:tcW w:w="3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eastAsia="等线"/>
                <w:color w:val="000000"/>
                <w:kern w:val="0"/>
                <w:sz w:val="18"/>
                <w:szCs w:val="18"/>
                <w:lang w:val="en-US" w:eastAsia="zh-CN"/>
              </w:rPr>
            </w:pPr>
            <w:r>
              <w:rPr>
                <w:rFonts w:hint="eastAsia" w:eastAsia="等线"/>
                <w:color w:val="000000"/>
                <w:kern w:val="0"/>
                <w:sz w:val="18"/>
                <w:szCs w:val="18"/>
                <w:lang w:val="en-US" w:eastAsia="zh-CN"/>
              </w:rPr>
              <w:t>11.11%</w:t>
            </w:r>
          </w:p>
        </w:tc>
      </w:tr>
    </w:tbl>
    <w:p>
      <w:pPr>
        <w:autoSpaceDE w:val="0"/>
        <w:autoSpaceDN w:val="0"/>
        <w:adjustRightInd w:val="0"/>
        <w:spacing w:before="156" w:beforeLines="50" w:after="156" w:afterLines="50" w:line="360" w:lineRule="exact"/>
        <w:rPr>
          <w:rFonts w:hint="default" w:ascii="黑体" w:hAnsi="Times New Roman" w:eastAsia="黑体" w:cs="Times New Roman"/>
          <w:color w:val="auto"/>
          <w:kern w:val="0"/>
          <w:szCs w:val="21"/>
          <w:lang w:val="en-US" w:eastAsia="zh-CN"/>
        </w:rPr>
      </w:pPr>
      <w:r>
        <w:rPr>
          <w:rFonts w:hint="eastAsia" w:ascii="黑体" w:hAnsi="Times New Roman" w:eastAsia="黑体" w:cs="Times New Roman"/>
          <w:color w:val="auto"/>
          <w:kern w:val="0"/>
          <w:szCs w:val="21"/>
          <w:lang w:val="en-US" w:eastAsia="zh-CN"/>
        </w:rPr>
        <w:t>7.5  检验规则</w:t>
      </w:r>
      <w:r>
        <w:rPr>
          <w:rFonts w:hint="eastAsia" w:ascii="黑体" w:eastAsia="黑体" w:cs="Times New Roman"/>
          <w:color w:val="auto"/>
          <w:kern w:val="0"/>
          <w:szCs w:val="21"/>
          <w:lang w:val="en-US" w:eastAsia="zh-CN"/>
        </w:rPr>
        <w:t>、标志标签与包装、运输、贮存</w:t>
      </w:r>
    </w:p>
    <w:p>
      <w:pPr>
        <w:autoSpaceDE w:val="0"/>
        <w:autoSpaceDN w:val="0"/>
        <w:adjustRightInd w:val="0"/>
        <w:spacing w:before="156" w:beforeLines="50" w:after="156" w:afterLines="50" w:line="360" w:lineRule="exact"/>
        <w:ind w:firstLine="420" w:firstLineChars="200"/>
        <w:rPr>
          <w:rFonts w:hint="eastAsia"/>
          <w:color w:val="auto"/>
          <w:kern w:val="0"/>
          <w:szCs w:val="20"/>
          <w:lang w:eastAsia="zh-CN"/>
        </w:rPr>
      </w:pPr>
      <w:r>
        <w:rPr>
          <w:rFonts w:hint="eastAsia" w:hAnsi="宋体" w:cs="Times New Roman"/>
          <w:color w:val="auto"/>
          <w:kern w:val="0"/>
          <w:szCs w:val="20"/>
          <w:lang w:val="en-US" w:eastAsia="zh-CN"/>
        </w:rPr>
        <w:t>本次修订上述规则不变</w:t>
      </w:r>
      <w:r>
        <w:rPr>
          <w:rFonts w:hint="eastAsia"/>
          <w:color w:val="auto"/>
          <w:kern w:val="0"/>
          <w:szCs w:val="20"/>
          <w:lang w:eastAsia="zh-CN"/>
        </w:rPr>
        <w:t>。</w:t>
      </w:r>
    </w:p>
    <w:p>
      <w:pPr>
        <w:autoSpaceDE w:val="0"/>
        <w:autoSpaceDN w:val="0"/>
        <w:adjustRightInd w:val="0"/>
        <w:spacing w:before="156" w:beforeLines="50" w:after="156" w:afterLines="50" w:line="360" w:lineRule="exact"/>
        <w:rPr>
          <w:rFonts w:hint="default" w:ascii="黑体" w:hAnsi="Times New Roman" w:eastAsia="黑体" w:cs="Times New Roman"/>
          <w:color w:val="auto"/>
          <w:kern w:val="0"/>
          <w:szCs w:val="21"/>
          <w:lang w:val="en-US" w:eastAsia="zh-CN"/>
        </w:rPr>
      </w:pPr>
      <w:r>
        <w:rPr>
          <w:rFonts w:hint="eastAsia" w:ascii="黑体" w:hAnsi="Times New Roman" w:eastAsia="黑体" w:cs="Times New Roman"/>
          <w:color w:val="auto"/>
          <w:kern w:val="0"/>
          <w:szCs w:val="21"/>
          <w:lang w:val="en-US" w:eastAsia="zh-CN"/>
        </w:rPr>
        <w:t>7.6  附录A</w:t>
      </w:r>
    </w:p>
    <w:p>
      <w:pPr>
        <w:autoSpaceDE w:val="0"/>
        <w:autoSpaceDN w:val="0"/>
        <w:adjustRightInd w:val="0"/>
        <w:spacing w:before="156" w:beforeLines="50" w:after="156" w:afterLines="50" w:line="360" w:lineRule="exact"/>
        <w:ind w:firstLine="420" w:firstLineChars="200"/>
        <w:rPr>
          <w:rFonts w:hint="default"/>
          <w:color w:val="auto"/>
          <w:kern w:val="0"/>
          <w:szCs w:val="20"/>
          <w:lang w:val="en-US" w:eastAsia="zh-CN"/>
        </w:rPr>
      </w:pPr>
      <w:r>
        <w:rPr>
          <w:rFonts w:hint="eastAsia"/>
          <w:color w:val="auto"/>
          <w:kern w:val="0"/>
          <w:szCs w:val="20"/>
          <w:lang w:val="en-US" w:eastAsia="zh-CN"/>
        </w:rPr>
        <w:t>本次修订删除了原标准中的附录A、B，不再采标，不再与日本标准对比；本次修订增加了附录A，主要为样品处理，由于新增的</w:t>
      </w: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3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产品要控制氟含量，氟含量过高会对仪器中的玻璃器件产生腐蚀，所以仪器测定方法中在进样前要求去除氟元素的影响，在附录中提供了一种碱焙烧的样品处理方法，用四硼酸钠与氟反应生成</w:t>
      </w:r>
      <w:r>
        <w:rPr>
          <w:rFonts w:hint="eastAsia" w:cs="Times New Roman"/>
          <w:szCs w:val="21"/>
          <w:lang w:val="en-US" w:eastAsia="zh-CN"/>
        </w:rPr>
        <w:t>络合物</w:t>
      </w:r>
      <w:r>
        <w:rPr>
          <w:rFonts w:hint="eastAsia" w:ascii="Times New Roman" w:hAnsi="Times New Roman" w:cs="Times New Roman"/>
          <w:szCs w:val="21"/>
          <w:lang w:val="en-US" w:eastAsia="zh-CN"/>
        </w:rPr>
        <w:t>，从而避免氟腐蚀。</w:t>
      </w:r>
    </w:p>
    <w:p>
      <w:pPr>
        <w:pStyle w:val="21"/>
        <w:topLinePunct/>
        <w:autoSpaceDE/>
        <w:autoSpaceDN/>
        <w:spacing w:before="156" w:beforeLines="50" w:after="156" w:afterLines="50" w:line="360" w:lineRule="exact"/>
        <w:rPr>
          <w:rFonts w:ascii="黑体" w:eastAsia="黑体"/>
        </w:rPr>
      </w:pPr>
      <w:r>
        <w:rPr>
          <w:rFonts w:hint="eastAsia" w:ascii="黑体" w:eastAsia="黑体"/>
        </w:rPr>
        <w:t>标准属性</w:t>
      </w:r>
    </w:p>
    <w:p>
      <w:pPr>
        <w:topLinePunct/>
        <w:spacing w:line="360" w:lineRule="exact"/>
        <w:ind w:firstLine="420" w:firstLineChars="200"/>
      </w:pPr>
      <w:r>
        <w:rPr>
          <w:rFonts w:hint="eastAsia"/>
        </w:rPr>
        <w:t>本标准为推荐性化工行业标准。</w:t>
      </w:r>
    </w:p>
    <w:p>
      <w:pPr>
        <w:pStyle w:val="21"/>
        <w:topLinePunct/>
        <w:autoSpaceDE/>
        <w:autoSpaceDN/>
        <w:spacing w:before="156" w:beforeLines="50" w:after="156" w:afterLines="50" w:line="360" w:lineRule="exact"/>
        <w:rPr>
          <w:rFonts w:ascii="黑体" w:eastAsia="黑体"/>
        </w:rPr>
      </w:pPr>
      <w:r>
        <w:rPr>
          <w:rFonts w:hint="eastAsia" w:ascii="黑体" w:eastAsia="黑体"/>
        </w:rPr>
        <w:t>标准水平分析</w:t>
      </w:r>
    </w:p>
    <w:p>
      <w:pPr>
        <w:tabs>
          <w:tab w:val="left" w:pos="1209"/>
        </w:tabs>
        <w:topLinePunct/>
        <w:spacing w:line="360" w:lineRule="exact"/>
        <w:ind w:firstLine="420" w:firstLineChars="200"/>
        <w:rPr>
          <w:color w:val="000000"/>
        </w:rPr>
      </w:pPr>
      <w:r>
        <w:rPr>
          <w:rFonts w:hint="eastAsia"/>
          <w:color w:val="000000"/>
        </w:rPr>
        <w:t>本标准的修订，</w:t>
      </w:r>
      <w:r>
        <w:rPr>
          <w:rFonts w:hint="eastAsia"/>
          <w:color w:val="000000"/>
          <w:lang w:val="en-US" w:eastAsia="zh-CN"/>
        </w:rPr>
        <w:t>充分考虑《</w:t>
      </w:r>
      <w:r>
        <w:rPr>
          <w:rFonts w:hint="eastAsia"/>
          <w:color w:val="000000"/>
          <w:szCs w:val="21"/>
          <w:lang w:eastAsia="zh-CN"/>
        </w:rPr>
        <w:t>工业</w:t>
      </w:r>
      <w:r>
        <w:rPr>
          <w:rFonts w:hint="eastAsia"/>
          <w:color w:val="000000"/>
          <w:szCs w:val="21"/>
          <w:lang w:val="en-US" w:eastAsia="zh-CN"/>
        </w:rPr>
        <w:t>氧化铁</w:t>
      </w:r>
      <w:r>
        <w:rPr>
          <w:rFonts w:hint="eastAsia"/>
          <w:color w:val="000000"/>
          <w:szCs w:val="21"/>
          <w:lang w:eastAsia="zh-CN"/>
        </w:rPr>
        <w:t>》</w:t>
      </w:r>
      <w:r>
        <w:rPr>
          <w:rFonts w:hint="eastAsia"/>
          <w:color w:val="000000"/>
          <w:szCs w:val="21"/>
          <w:lang w:val="en-US" w:eastAsia="zh-CN"/>
        </w:rPr>
        <w:t>化工行业标准的实施效果，以及</w:t>
      </w:r>
      <w:r>
        <w:rPr>
          <w:rFonts w:hint="eastAsia"/>
          <w:color w:val="000000"/>
        </w:rPr>
        <w:t>国内</w:t>
      </w:r>
      <w:r>
        <w:rPr>
          <w:rFonts w:hint="eastAsia"/>
          <w:color w:val="000000"/>
          <w:szCs w:val="21"/>
          <w:lang w:eastAsia="zh-CN"/>
        </w:rPr>
        <w:t>工业</w:t>
      </w:r>
      <w:r>
        <w:rPr>
          <w:rFonts w:hint="eastAsia"/>
          <w:color w:val="000000"/>
          <w:szCs w:val="21"/>
          <w:lang w:val="en-US" w:eastAsia="zh-CN"/>
        </w:rPr>
        <w:t>氧化铁</w:t>
      </w:r>
      <w:r>
        <w:rPr>
          <w:rFonts w:hint="eastAsia"/>
          <w:color w:val="000000"/>
        </w:rPr>
        <w:t>的生产和使用的实际情况，从规范行业行为、促进行业发展角度出发，</w:t>
      </w:r>
      <w:r>
        <w:rPr>
          <w:rFonts w:hint="eastAsia"/>
          <w:color w:val="000000"/>
          <w:lang w:val="en-US" w:eastAsia="zh-CN"/>
        </w:rPr>
        <w:t>项目、</w:t>
      </w:r>
      <w:r>
        <w:rPr>
          <w:rFonts w:hint="eastAsia"/>
          <w:color w:val="000000"/>
        </w:rPr>
        <w:t>指标设置</w:t>
      </w:r>
      <w:r>
        <w:rPr>
          <w:rFonts w:hint="eastAsia"/>
          <w:color w:val="000000"/>
          <w:lang w:eastAsia="zh-CN"/>
        </w:rPr>
        <w:t>、</w:t>
      </w:r>
      <w:r>
        <w:rPr>
          <w:rFonts w:hint="eastAsia"/>
          <w:color w:val="000000"/>
          <w:lang w:val="en-US" w:eastAsia="zh-CN"/>
        </w:rPr>
        <w:t>调整</w:t>
      </w:r>
      <w:r>
        <w:rPr>
          <w:rFonts w:hint="eastAsia"/>
          <w:color w:val="000000"/>
        </w:rPr>
        <w:t>合理，试验方法经典、科学、先进</w:t>
      </w:r>
      <w:r>
        <w:rPr>
          <w:rFonts w:hint="eastAsia"/>
          <w:color w:val="000000"/>
          <w:lang w:eastAsia="zh-CN"/>
        </w:rPr>
        <w:t>，</w:t>
      </w:r>
      <w:r>
        <w:rPr>
          <w:rFonts w:hint="eastAsia"/>
          <w:color w:val="000000"/>
        </w:rPr>
        <w:t>可操作性强，</w:t>
      </w:r>
      <w:r>
        <w:rPr>
          <w:rFonts w:hint="eastAsia"/>
          <w:color w:val="000000"/>
          <w:lang w:val="en-US" w:eastAsia="zh-CN"/>
        </w:rPr>
        <w:t>测定</w:t>
      </w:r>
      <w:r>
        <w:rPr>
          <w:rFonts w:hint="eastAsia"/>
          <w:color w:val="000000"/>
        </w:rPr>
        <w:t>结果稳定、</w:t>
      </w:r>
      <w:r>
        <w:rPr>
          <w:rFonts w:hint="eastAsia"/>
          <w:color w:val="000000"/>
          <w:lang w:val="en-US" w:eastAsia="zh-CN"/>
        </w:rPr>
        <w:t>准</w:t>
      </w:r>
      <w:r>
        <w:rPr>
          <w:rFonts w:hint="eastAsia"/>
          <w:color w:val="000000"/>
        </w:rPr>
        <w:t>确、可靠。</w:t>
      </w:r>
    </w:p>
    <w:p>
      <w:pPr>
        <w:tabs>
          <w:tab w:val="left" w:pos="1209"/>
        </w:tabs>
        <w:topLinePunct/>
        <w:spacing w:line="360" w:lineRule="exact"/>
        <w:ind w:firstLine="420" w:firstLineChars="200"/>
        <w:rPr>
          <w:rFonts w:ascii="黑体" w:hAnsi="黑体" w:eastAsia="黑体"/>
          <w:color w:val="000000"/>
          <w:sz w:val="18"/>
          <w:szCs w:val="18"/>
        </w:rPr>
      </w:pPr>
      <w:r>
        <w:rPr>
          <w:rFonts w:hint="eastAsia"/>
          <w:color w:val="000000"/>
        </w:rPr>
        <w:t>综合分析，本标准达到国内先进水平。</w:t>
      </w:r>
      <w:bookmarkStart w:id="9" w:name="_GoBack"/>
      <w:bookmarkEnd w:id="9"/>
    </w:p>
    <w:sectPr>
      <w:pgSz w:w="11906" w:h="16838"/>
      <w:pgMar w:top="1134" w:right="907" w:bottom="1134" w:left="90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dobeHeitiStd-Regular">
    <w:altName w:val="宋体"/>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AE579D"/>
    <w:multiLevelType w:val="multilevel"/>
    <w:tmpl w:val="3EAE579D"/>
    <w:lvl w:ilvl="0" w:tentative="0">
      <w:start w:val="1"/>
      <w:numFmt w:val="decimal"/>
      <w:pStyle w:val="2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2"/>
      <w:suff w:val="nothing"/>
      <w:lvlText w:val="%1.%2　"/>
      <w:lvlJc w:val="left"/>
      <w:pPr>
        <w:ind w:left="315" w:firstLine="0"/>
      </w:pPr>
      <w:rPr>
        <w:b w:val="0"/>
        <w:i w:val="0"/>
        <w:caps w:val="0"/>
        <w:smallCaps w:val="0"/>
        <w:strike w:val="0"/>
        <w:vanish w:val="0"/>
        <w:color w:val="000000"/>
        <w:spacing w:val="0"/>
        <w:position w:val="28672"/>
        <w:sz w:val="21"/>
        <w:u w:val="none"/>
        <w14:shadow w14:blurRad="0" w14:dist="0" w14:dir="0" w14:sx="0" w14:sy="0" w14:kx="0" w14:ky="0" w14:algn="none">
          <w14:srgbClr w14:val="000000"/>
        </w14:shadow>
      </w:rPr>
    </w:lvl>
    <w:lvl w:ilvl="2" w:tentative="0">
      <w:start w:val="1"/>
      <w:numFmt w:val="decimal"/>
      <w:pStyle w:val="23"/>
      <w:suff w:val="nothing"/>
      <w:lvlText w:val="%1.%2.%3　"/>
      <w:lvlJc w:val="left"/>
      <w:pPr>
        <w:ind w:left="0" w:firstLine="0"/>
      </w:pPr>
      <w:rPr>
        <w:rFonts w:hint="eastAsia" w:ascii="宋体" w:hAnsi="宋体" w:eastAsia="宋体"/>
        <w:b w:val="0"/>
        <w:bCs w:val="0"/>
        <w:i w:val="0"/>
        <w:iCs w:val="0"/>
        <w:caps w:val="0"/>
        <w:smallCaps w:val="0"/>
        <w:strike w:val="0"/>
        <w:dstrike w:val="0"/>
        <w:color w:val="FF0000"/>
        <w:spacing w:val="0"/>
        <w:w w:val="100"/>
        <w:kern w:val="0"/>
        <w:position w:val="0"/>
        <w:sz w:val="21"/>
        <w:u w:val="none"/>
        <w:shd w:val="clear" w:color="auto" w:fill="auto"/>
        <w14:shadow w14:blurRad="0" w14:dist="0" w14:dir="0" w14:sx="0" w14:sy="0" w14:kx="0" w14:ky="0" w14:algn="none">
          <w14:srgbClr w14:val="000000"/>
        </w14:shadow>
      </w:rPr>
    </w:lvl>
    <w:lvl w:ilvl="3" w:tentative="0">
      <w:start w:val="1"/>
      <w:numFmt w:val="decimal"/>
      <w:pStyle w:val="24"/>
      <w:suff w:val="nothing"/>
      <w:lvlText w:val="%1.%2.%3.%4　"/>
      <w:lvlJc w:val="left"/>
      <w:pPr>
        <w:ind w:left="945" w:firstLine="0"/>
      </w:pPr>
      <w:rPr>
        <w:rFonts w:hint="eastAsia" w:ascii="黑体" w:hAnsi="Times New Roman" w:eastAsia="黑体"/>
        <w:b w:val="0"/>
        <w:i w:val="0"/>
        <w:sz w:val="21"/>
      </w:rPr>
    </w:lvl>
    <w:lvl w:ilvl="4" w:tentative="0">
      <w:start w:val="1"/>
      <w:numFmt w:val="decimal"/>
      <w:pStyle w:val="25"/>
      <w:suff w:val="nothing"/>
      <w:lvlText w:val="%1.%2.%3.%4.%5　"/>
      <w:lvlJc w:val="left"/>
      <w:pPr>
        <w:ind w:left="0" w:firstLine="0"/>
      </w:pPr>
      <w:rPr>
        <w:rFonts w:hint="eastAsia" w:ascii="黑体" w:hAnsi="Times New Roman" w:eastAsia="黑体"/>
        <w:b w:val="0"/>
        <w:i w:val="0"/>
        <w:sz w:val="21"/>
      </w:rPr>
    </w:lvl>
    <w:lvl w:ilvl="5" w:tentative="0">
      <w:start w:val="1"/>
      <w:numFmt w:val="decimal"/>
      <w:pStyle w:val="2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tentative="0">
      <w:start w:val="1"/>
      <w:numFmt w:val="decimal"/>
      <w:pStyle w:val="4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9"/>
      <w:suff w:val="nothing"/>
      <w:lvlText w:val="%1%2　"/>
      <w:lvlJc w:val="left"/>
      <w:pPr>
        <w:ind w:left="0" w:firstLine="0"/>
      </w:pPr>
      <w:rPr>
        <w:rFonts w:hint="eastAsia" w:ascii="黑体" w:eastAsia="黑体"/>
        <w:b w:val="0"/>
        <w:i w:val="0"/>
        <w:sz w:val="21"/>
      </w:rPr>
    </w:lvl>
    <w:lvl w:ilvl="2" w:tentative="0">
      <w:start w:val="1"/>
      <w:numFmt w:val="decimal"/>
      <w:pStyle w:val="3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tentative="0">
      <w:start w:val="1"/>
      <w:numFmt w:val="decimal"/>
      <w:pStyle w:val="41"/>
      <w:suff w:val="nothing"/>
      <w:lvlText w:val="%1%2.%3.%4　"/>
      <w:lvlJc w:val="left"/>
      <w:pPr>
        <w:ind w:left="1135"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1844"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M2U4OWJiOGNmZjBjYjg1NmFlZWI2MDNkMzViYzIifQ=="/>
  </w:docVars>
  <w:rsids>
    <w:rsidRoot w:val="00CA47DC"/>
    <w:rsid w:val="00000173"/>
    <w:rsid w:val="00001024"/>
    <w:rsid w:val="00001641"/>
    <w:rsid w:val="00002010"/>
    <w:rsid w:val="000031B7"/>
    <w:rsid w:val="00005966"/>
    <w:rsid w:val="00007A2A"/>
    <w:rsid w:val="00007EB3"/>
    <w:rsid w:val="000101DA"/>
    <w:rsid w:val="000114DF"/>
    <w:rsid w:val="00011F53"/>
    <w:rsid w:val="0001368D"/>
    <w:rsid w:val="0001453C"/>
    <w:rsid w:val="00014CFE"/>
    <w:rsid w:val="00014E2D"/>
    <w:rsid w:val="0001717A"/>
    <w:rsid w:val="00017812"/>
    <w:rsid w:val="000204A0"/>
    <w:rsid w:val="000211D5"/>
    <w:rsid w:val="0002145A"/>
    <w:rsid w:val="000225D2"/>
    <w:rsid w:val="00024B7A"/>
    <w:rsid w:val="0002579C"/>
    <w:rsid w:val="000276A1"/>
    <w:rsid w:val="000306D3"/>
    <w:rsid w:val="000318A4"/>
    <w:rsid w:val="00032325"/>
    <w:rsid w:val="000340D0"/>
    <w:rsid w:val="0003412D"/>
    <w:rsid w:val="0003561B"/>
    <w:rsid w:val="00035D9B"/>
    <w:rsid w:val="0003716E"/>
    <w:rsid w:val="0004027B"/>
    <w:rsid w:val="000405F8"/>
    <w:rsid w:val="0004151C"/>
    <w:rsid w:val="00041F45"/>
    <w:rsid w:val="0004288F"/>
    <w:rsid w:val="000444A2"/>
    <w:rsid w:val="0004451E"/>
    <w:rsid w:val="00045FD7"/>
    <w:rsid w:val="0004602A"/>
    <w:rsid w:val="0004661C"/>
    <w:rsid w:val="00046F43"/>
    <w:rsid w:val="00050122"/>
    <w:rsid w:val="00050BC4"/>
    <w:rsid w:val="00053945"/>
    <w:rsid w:val="000547F9"/>
    <w:rsid w:val="00054E9D"/>
    <w:rsid w:val="00055CA8"/>
    <w:rsid w:val="00056044"/>
    <w:rsid w:val="00057AB1"/>
    <w:rsid w:val="00057B60"/>
    <w:rsid w:val="00060EAF"/>
    <w:rsid w:val="00060F07"/>
    <w:rsid w:val="00061992"/>
    <w:rsid w:val="00063EF9"/>
    <w:rsid w:val="000648A5"/>
    <w:rsid w:val="00064D60"/>
    <w:rsid w:val="00064DDA"/>
    <w:rsid w:val="00064EAA"/>
    <w:rsid w:val="00066B01"/>
    <w:rsid w:val="00066D41"/>
    <w:rsid w:val="0006724A"/>
    <w:rsid w:val="00067814"/>
    <w:rsid w:val="00067EAD"/>
    <w:rsid w:val="000719ED"/>
    <w:rsid w:val="00072990"/>
    <w:rsid w:val="000735B8"/>
    <w:rsid w:val="0007392E"/>
    <w:rsid w:val="000756F7"/>
    <w:rsid w:val="0007588C"/>
    <w:rsid w:val="00075B48"/>
    <w:rsid w:val="00077E9B"/>
    <w:rsid w:val="000840E8"/>
    <w:rsid w:val="00084CE6"/>
    <w:rsid w:val="00086A24"/>
    <w:rsid w:val="00086D24"/>
    <w:rsid w:val="0008731F"/>
    <w:rsid w:val="000873F4"/>
    <w:rsid w:val="000876AD"/>
    <w:rsid w:val="000903BC"/>
    <w:rsid w:val="00092966"/>
    <w:rsid w:val="00092CC6"/>
    <w:rsid w:val="0009323D"/>
    <w:rsid w:val="00093EED"/>
    <w:rsid w:val="000954A9"/>
    <w:rsid w:val="0009565E"/>
    <w:rsid w:val="000959CE"/>
    <w:rsid w:val="000A0604"/>
    <w:rsid w:val="000A1D59"/>
    <w:rsid w:val="000A2029"/>
    <w:rsid w:val="000A336D"/>
    <w:rsid w:val="000A3F1D"/>
    <w:rsid w:val="000A54DC"/>
    <w:rsid w:val="000A58F8"/>
    <w:rsid w:val="000A6A0F"/>
    <w:rsid w:val="000A6B37"/>
    <w:rsid w:val="000A718A"/>
    <w:rsid w:val="000B0A8A"/>
    <w:rsid w:val="000B28A6"/>
    <w:rsid w:val="000B3458"/>
    <w:rsid w:val="000B4C1D"/>
    <w:rsid w:val="000B5042"/>
    <w:rsid w:val="000B5916"/>
    <w:rsid w:val="000B5919"/>
    <w:rsid w:val="000B5BEF"/>
    <w:rsid w:val="000B7E06"/>
    <w:rsid w:val="000C0A6C"/>
    <w:rsid w:val="000C1ED6"/>
    <w:rsid w:val="000C221A"/>
    <w:rsid w:val="000C311F"/>
    <w:rsid w:val="000C3C15"/>
    <w:rsid w:val="000C4E54"/>
    <w:rsid w:val="000C5F66"/>
    <w:rsid w:val="000C7BB2"/>
    <w:rsid w:val="000D125B"/>
    <w:rsid w:val="000D21C5"/>
    <w:rsid w:val="000D244D"/>
    <w:rsid w:val="000D262D"/>
    <w:rsid w:val="000D3A3B"/>
    <w:rsid w:val="000D4839"/>
    <w:rsid w:val="000D5365"/>
    <w:rsid w:val="000D68AB"/>
    <w:rsid w:val="000D749E"/>
    <w:rsid w:val="000D756E"/>
    <w:rsid w:val="000E1C38"/>
    <w:rsid w:val="000E2544"/>
    <w:rsid w:val="000E2E74"/>
    <w:rsid w:val="000E3578"/>
    <w:rsid w:val="000E3C8B"/>
    <w:rsid w:val="000E49B8"/>
    <w:rsid w:val="000E6D67"/>
    <w:rsid w:val="000F04E4"/>
    <w:rsid w:val="000F1D7F"/>
    <w:rsid w:val="000F2005"/>
    <w:rsid w:val="000F2C55"/>
    <w:rsid w:val="000F3DE9"/>
    <w:rsid w:val="000F415B"/>
    <w:rsid w:val="000F7611"/>
    <w:rsid w:val="001009B2"/>
    <w:rsid w:val="00101DCF"/>
    <w:rsid w:val="00102751"/>
    <w:rsid w:val="00102ADA"/>
    <w:rsid w:val="001031B3"/>
    <w:rsid w:val="001035AA"/>
    <w:rsid w:val="00103611"/>
    <w:rsid w:val="00103C4C"/>
    <w:rsid w:val="00104FAE"/>
    <w:rsid w:val="00105233"/>
    <w:rsid w:val="00105C32"/>
    <w:rsid w:val="001076CC"/>
    <w:rsid w:val="00110BEC"/>
    <w:rsid w:val="001113EF"/>
    <w:rsid w:val="00111942"/>
    <w:rsid w:val="00111BA5"/>
    <w:rsid w:val="00113914"/>
    <w:rsid w:val="00114790"/>
    <w:rsid w:val="00114854"/>
    <w:rsid w:val="00114880"/>
    <w:rsid w:val="00114F81"/>
    <w:rsid w:val="001170EB"/>
    <w:rsid w:val="0011784D"/>
    <w:rsid w:val="00117F13"/>
    <w:rsid w:val="00121A2C"/>
    <w:rsid w:val="0012356C"/>
    <w:rsid w:val="001236EF"/>
    <w:rsid w:val="00124035"/>
    <w:rsid w:val="00124185"/>
    <w:rsid w:val="001249EC"/>
    <w:rsid w:val="00124FE8"/>
    <w:rsid w:val="00125891"/>
    <w:rsid w:val="00125B89"/>
    <w:rsid w:val="00130086"/>
    <w:rsid w:val="001309CD"/>
    <w:rsid w:val="001309D0"/>
    <w:rsid w:val="0013130D"/>
    <w:rsid w:val="00131821"/>
    <w:rsid w:val="00131C8B"/>
    <w:rsid w:val="00131FF5"/>
    <w:rsid w:val="0013400A"/>
    <w:rsid w:val="00135568"/>
    <w:rsid w:val="00135D4E"/>
    <w:rsid w:val="001360D5"/>
    <w:rsid w:val="001371A0"/>
    <w:rsid w:val="00137684"/>
    <w:rsid w:val="00140327"/>
    <w:rsid w:val="00140620"/>
    <w:rsid w:val="00140B99"/>
    <w:rsid w:val="001429B4"/>
    <w:rsid w:val="001429D1"/>
    <w:rsid w:val="00142AA1"/>
    <w:rsid w:val="00144DC6"/>
    <w:rsid w:val="00145B32"/>
    <w:rsid w:val="00145B8A"/>
    <w:rsid w:val="001511A7"/>
    <w:rsid w:val="001517B7"/>
    <w:rsid w:val="0015182E"/>
    <w:rsid w:val="00153F81"/>
    <w:rsid w:val="00153FC0"/>
    <w:rsid w:val="001544EF"/>
    <w:rsid w:val="00155F68"/>
    <w:rsid w:val="00157D1A"/>
    <w:rsid w:val="001606A3"/>
    <w:rsid w:val="00160A3E"/>
    <w:rsid w:val="00161A9E"/>
    <w:rsid w:val="0016416D"/>
    <w:rsid w:val="001641AE"/>
    <w:rsid w:val="0016448A"/>
    <w:rsid w:val="00164630"/>
    <w:rsid w:val="0016590C"/>
    <w:rsid w:val="00165B4E"/>
    <w:rsid w:val="00165B75"/>
    <w:rsid w:val="001668D3"/>
    <w:rsid w:val="001707DF"/>
    <w:rsid w:val="00170BC2"/>
    <w:rsid w:val="00172BCC"/>
    <w:rsid w:val="00173C20"/>
    <w:rsid w:val="00176382"/>
    <w:rsid w:val="00176FE7"/>
    <w:rsid w:val="0018027F"/>
    <w:rsid w:val="00180913"/>
    <w:rsid w:val="00180AB4"/>
    <w:rsid w:val="0018234F"/>
    <w:rsid w:val="001831B4"/>
    <w:rsid w:val="00184653"/>
    <w:rsid w:val="00185091"/>
    <w:rsid w:val="001857AB"/>
    <w:rsid w:val="00186BBF"/>
    <w:rsid w:val="00186D9C"/>
    <w:rsid w:val="00186F81"/>
    <w:rsid w:val="001870BB"/>
    <w:rsid w:val="0018761A"/>
    <w:rsid w:val="00190AEF"/>
    <w:rsid w:val="001918C0"/>
    <w:rsid w:val="00191EDE"/>
    <w:rsid w:val="0019585E"/>
    <w:rsid w:val="00195CEA"/>
    <w:rsid w:val="0019692F"/>
    <w:rsid w:val="00196945"/>
    <w:rsid w:val="00196BC3"/>
    <w:rsid w:val="001A0845"/>
    <w:rsid w:val="001A1685"/>
    <w:rsid w:val="001A24BD"/>
    <w:rsid w:val="001A4186"/>
    <w:rsid w:val="001A5F33"/>
    <w:rsid w:val="001B03B6"/>
    <w:rsid w:val="001B3CED"/>
    <w:rsid w:val="001B44F6"/>
    <w:rsid w:val="001B566F"/>
    <w:rsid w:val="001B69F6"/>
    <w:rsid w:val="001B6AA5"/>
    <w:rsid w:val="001B6FD5"/>
    <w:rsid w:val="001B74A2"/>
    <w:rsid w:val="001B756D"/>
    <w:rsid w:val="001C0380"/>
    <w:rsid w:val="001C04CE"/>
    <w:rsid w:val="001C0C5C"/>
    <w:rsid w:val="001C0F97"/>
    <w:rsid w:val="001C1405"/>
    <w:rsid w:val="001C1D23"/>
    <w:rsid w:val="001C45E8"/>
    <w:rsid w:val="001C5789"/>
    <w:rsid w:val="001C57A5"/>
    <w:rsid w:val="001C597F"/>
    <w:rsid w:val="001C67F2"/>
    <w:rsid w:val="001D0DEF"/>
    <w:rsid w:val="001D2B0B"/>
    <w:rsid w:val="001D2EF0"/>
    <w:rsid w:val="001D3E5E"/>
    <w:rsid w:val="001D41C8"/>
    <w:rsid w:val="001D45EE"/>
    <w:rsid w:val="001D4EDD"/>
    <w:rsid w:val="001D65A9"/>
    <w:rsid w:val="001D7135"/>
    <w:rsid w:val="001D7C0E"/>
    <w:rsid w:val="001D7CF8"/>
    <w:rsid w:val="001E11F9"/>
    <w:rsid w:val="001E1DFB"/>
    <w:rsid w:val="001E2EED"/>
    <w:rsid w:val="001E4539"/>
    <w:rsid w:val="001F09D4"/>
    <w:rsid w:val="001F13BC"/>
    <w:rsid w:val="001F1A53"/>
    <w:rsid w:val="001F1A6B"/>
    <w:rsid w:val="001F3E55"/>
    <w:rsid w:val="001F434D"/>
    <w:rsid w:val="001F43E5"/>
    <w:rsid w:val="001F6E9B"/>
    <w:rsid w:val="00200405"/>
    <w:rsid w:val="00202509"/>
    <w:rsid w:val="002027D5"/>
    <w:rsid w:val="002028EA"/>
    <w:rsid w:val="002034E3"/>
    <w:rsid w:val="002037C2"/>
    <w:rsid w:val="00203DFA"/>
    <w:rsid w:val="00204990"/>
    <w:rsid w:val="002049F5"/>
    <w:rsid w:val="0020525D"/>
    <w:rsid w:val="00205979"/>
    <w:rsid w:val="0020677E"/>
    <w:rsid w:val="002079E0"/>
    <w:rsid w:val="00210A4F"/>
    <w:rsid w:val="00210B87"/>
    <w:rsid w:val="0021253B"/>
    <w:rsid w:val="00214949"/>
    <w:rsid w:val="00215818"/>
    <w:rsid w:val="00217728"/>
    <w:rsid w:val="00217B9F"/>
    <w:rsid w:val="00217BE8"/>
    <w:rsid w:val="00220D8C"/>
    <w:rsid w:val="002215FB"/>
    <w:rsid w:val="00221736"/>
    <w:rsid w:val="00221B69"/>
    <w:rsid w:val="002221B1"/>
    <w:rsid w:val="00222A21"/>
    <w:rsid w:val="00224198"/>
    <w:rsid w:val="00224CFC"/>
    <w:rsid w:val="0022632F"/>
    <w:rsid w:val="0022699A"/>
    <w:rsid w:val="00226DD6"/>
    <w:rsid w:val="00227411"/>
    <w:rsid w:val="0023365F"/>
    <w:rsid w:val="00234096"/>
    <w:rsid w:val="00234A8F"/>
    <w:rsid w:val="00234D3F"/>
    <w:rsid w:val="00234EB7"/>
    <w:rsid w:val="00237139"/>
    <w:rsid w:val="00240457"/>
    <w:rsid w:val="002405A4"/>
    <w:rsid w:val="00240EF5"/>
    <w:rsid w:val="00241B74"/>
    <w:rsid w:val="00243773"/>
    <w:rsid w:val="00245162"/>
    <w:rsid w:val="00246642"/>
    <w:rsid w:val="002475C6"/>
    <w:rsid w:val="002507FE"/>
    <w:rsid w:val="0025117D"/>
    <w:rsid w:val="0025349D"/>
    <w:rsid w:val="00253C25"/>
    <w:rsid w:val="00253DB3"/>
    <w:rsid w:val="002557C3"/>
    <w:rsid w:val="00255FC0"/>
    <w:rsid w:val="00256290"/>
    <w:rsid w:val="00256C95"/>
    <w:rsid w:val="002571CA"/>
    <w:rsid w:val="0025777D"/>
    <w:rsid w:val="0026135C"/>
    <w:rsid w:val="002614B8"/>
    <w:rsid w:val="002626D0"/>
    <w:rsid w:val="00262C83"/>
    <w:rsid w:val="00263B0F"/>
    <w:rsid w:val="00265EB5"/>
    <w:rsid w:val="00265FBA"/>
    <w:rsid w:val="0026649B"/>
    <w:rsid w:val="00266843"/>
    <w:rsid w:val="002701CC"/>
    <w:rsid w:val="00271ACC"/>
    <w:rsid w:val="00271CCC"/>
    <w:rsid w:val="00272042"/>
    <w:rsid w:val="00272DA5"/>
    <w:rsid w:val="00272FB1"/>
    <w:rsid w:val="00273D5B"/>
    <w:rsid w:val="002747D8"/>
    <w:rsid w:val="00275ACA"/>
    <w:rsid w:val="00276E5B"/>
    <w:rsid w:val="00276EA6"/>
    <w:rsid w:val="0028038C"/>
    <w:rsid w:val="00280A6E"/>
    <w:rsid w:val="00280E55"/>
    <w:rsid w:val="00282DB9"/>
    <w:rsid w:val="00286772"/>
    <w:rsid w:val="002871BB"/>
    <w:rsid w:val="002909EC"/>
    <w:rsid w:val="00291797"/>
    <w:rsid w:val="002919D9"/>
    <w:rsid w:val="002924E7"/>
    <w:rsid w:val="002935DE"/>
    <w:rsid w:val="0029568D"/>
    <w:rsid w:val="00295F9B"/>
    <w:rsid w:val="002974BD"/>
    <w:rsid w:val="00297E72"/>
    <w:rsid w:val="002A0264"/>
    <w:rsid w:val="002A0C9F"/>
    <w:rsid w:val="002A14C7"/>
    <w:rsid w:val="002A16F6"/>
    <w:rsid w:val="002A176F"/>
    <w:rsid w:val="002A293F"/>
    <w:rsid w:val="002A2F44"/>
    <w:rsid w:val="002A3C4C"/>
    <w:rsid w:val="002A43F9"/>
    <w:rsid w:val="002A456A"/>
    <w:rsid w:val="002A57A2"/>
    <w:rsid w:val="002A5B2A"/>
    <w:rsid w:val="002A5D31"/>
    <w:rsid w:val="002A6BFA"/>
    <w:rsid w:val="002A7F4A"/>
    <w:rsid w:val="002B02CC"/>
    <w:rsid w:val="002B2295"/>
    <w:rsid w:val="002B3CBA"/>
    <w:rsid w:val="002B406F"/>
    <w:rsid w:val="002B5344"/>
    <w:rsid w:val="002B58D3"/>
    <w:rsid w:val="002B6678"/>
    <w:rsid w:val="002B6D0B"/>
    <w:rsid w:val="002C076C"/>
    <w:rsid w:val="002C0908"/>
    <w:rsid w:val="002C1296"/>
    <w:rsid w:val="002C1360"/>
    <w:rsid w:val="002C1978"/>
    <w:rsid w:val="002C1E79"/>
    <w:rsid w:val="002C22CF"/>
    <w:rsid w:val="002C2518"/>
    <w:rsid w:val="002C364F"/>
    <w:rsid w:val="002C377B"/>
    <w:rsid w:val="002C3F4F"/>
    <w:rsid w:val="002C40AD"/>
    <w:rsid w:val="002C4330"/>
    <w:rsid w:val="002C58DD"/>
    <w:rsid w:val="002C5C04"/>
    <w:rsid w:val="002C6151"/>
    <w:rsid w:val="002C616E"/>
    <w:rsid w:val="002C69B5"/>
    <w:rsid w:val="002C71BD"/>
    <w:rsid w:val="002D02A8"/>
    <w:rsid w:val="002D1EB2"/>
    <w:rsid w:val="002D2BFF"/>
    <w:rsid w:val="002D337D"/>
    <w:rsid w:val="002D4435"/>
    <w:rsid w:val="002D4A71"/>
    <w:rsid w:val="002D5136"/>
    <w:rsid w:val="002D5251"/>
    <w:rsid w:val="002D5DC3"/>
    <w:rsid w:val="002D678D"/>
    <w:rsid w:val="002D6CCC"/>
    <w:rsid w:val="002D6FD4"/>
    <w:rsid w:val="002E1176"/>
    <w:rsid w:val="002E2B74"/>
    <w:rsid w:val="002E47C9"/>
    <w:rsid w:val="002E6025"/>
    <w:rsid w:val="002E6BFC"/>
    <w:rsid w:val="002E765A"/>
    <w:rsid w:val="002E7CE9"/>
    <w:rsid w:val="002F07B8"/>
    <w:rsid w:val="002F2A1E"/>
    <w:rsid w:val="002F30D3"/>
    <w:rsid w:val="002F3578"/>
    <w:rsid w:val="002F3927"/>
    <w:rsid w:val="002F4B2E"/>
    <w:rsid w:val="002F4EE2"/>
    <w:rsid w:val="002F5356"/>
    <w:rsid w:val="002F59F0"/>
    <w:rsid w:val="002F6717"/>
    <w:rsid w:val="002F6872"/>
    <w:rsid w:val="002F7F61"/>
    <w:rsid w:val="003009E8"/>
    <w:rsid w:val="00303E15"/>
    <w:rsid w:val="00303F60"/>
    <w:rsid w:val="00304821"/>
    <w:rsid w:val="00304A43"/>
    <w:rsid w:val="0030688D"/>
    <w:rsid w:val="0030791E"/>
    <w:rsid w:val="003101C1"/>
    <w:rsid w:val="00310304"/>
    <w:rsid w:val="00311259"/>
    <w:rsid w:val="00313179"/>
    <w:rsid w:val="00313236"/>
    <w:rsid w:val="003135EB"/>
    <w:rsid w:val="00314C8D"/>
    <w:rsid w:val="003150EC"/>
    <w:rsid w:val="003168D3"/>
    <w:rsid w:val="00316AC1"/>
    <w:rsid w:val="00320563"/>
    <w:rsid w:val="0032126F"/>
    <w:rsid w:val="00324695"/>
    <w:rsid w:val="00324E3A"/>
    <w:rsid w:val="00324EA6"/>
    <w:rsid w:val="003254A9"/>
    <w:rsid w:val="0032575B"/>
    <w:rsid w:val="00326913"/>
    <w:rsid w:val="00327055"/>
    <w:rsid w:val="00327250"/>
    <w:rsid w:val="003278D2"/>
    <w:rsid w:val="00330E33"/>
    <w:rsid w:val="003324A8"/>
    <w:rsid w:val="00332D65"/>
    <w:rsid w:val="003331DF"/>
    <w:rsid w:val="0033568D"/>
    <w:rsid w:val="00335C42"/>
    <w:rsid w:val="00335D8F"/>
    <w:rsid w:val="00336016"/>
    <w:rsid w:val="0033715C"/>
    <w:rsid w:val="0033727B"/>
    <w:rsid w:val="003400F4"/>
    <w:rsid w:val="00341568"/>
    <w:rsid w:val="003430DF"/>
    <w:rsid w:val="00343790"/>
    <w:rsid w:val="00344C29"/>
    <w:rsid w:val="00345173"/>
    <w:rsid w:val="0034558F"/>
    <w:rsid w:val="00345F22"/>
    <w:rsid w:val="00346003"/>
    <w:rsid w:val="00346AB8"/>
    <w:rsid w:val="00346B30"/>
    <w:rsid w:val="00347FF0"/>
    <w:rsid w:val="003523C9"/>
    <w:rsid w:val="00352838"/>
    <w:rsid w:val="00356DF3"/>
    <w:rsid w:val="00360AEC"/>
    <w:rsid w:val="00362E25"/>
    <w:rsid w:val="00364056"/>
    <w:rsid w:val="0036525D"/>
    <w:rsid w:val="00365459"/>
    <w:rsid w:val="00365561"/>
    <w:rsid w:val="003701DE"/>
    <w:rsid w:val="0037069C"/>
    <w:rsid w:val="00372761"/>
    <w:rsid w:val="00373390"/>
    <w:rsid w:val="003747F0"/>
    <w:rsid w:val="0037630E"/>
    <w:rsid w:val="00376F59"/>
    <w:rsid w:val="00377993"/>
    <w:rsid w:val="00377D4D"/>
    <w:rsid w:val="00380400"/>
    <w:rsid w:val="0038136A"/>
    <w:rsid w:val="00382CBE"/>
    <w:rsid w:val="00383C3A"/>
    <w:rsid w:val="003845DD"/>
    <w:rsid w:val="00385168"/>
    <w:rsid w:val="00385836"/>
    <w:rsid w:val="0038618F"/>
    <w:rsid w:val="0038697E"/>
    <w:rsid w:val="0038786E"/>
    <w:rsid w:val="00387DE0"/>
    <w:rsid w:val="00390C79"/>
    <w:rsid w:val="003914C4"/>
    <w:rsid w:val="00391C7D"/>
    <w:rsid w:val="003930C5"/>
    <w:rsid w:val="00393F52"/>
    <w:rsid w:val="00396549"/>
    <w:rsid w:val="00396F2D"/>
    <w:rsid w:val="00397A1B"/>
    <w:rsid w:val="003A033C"/>
    <w:rsid w:val="003A0391"/>
    <w:rsid w:val="003A0A96"/>
    <w:rsid w:val="003A11C5"/>
    <w:rsid w:val="003A3571"/>
    <w:rsid w:val="003A3D98"/>
    <w:rsid w:val="003A4DC1"/>
    <w:rsid w:val="003A5978"/>
    <w:rsid w:val="003A5EA9"/>
    <w:rsid w:val="003A624B"/>
    <w:rsid w:val="003A7C36"/>
    <w:rsid w:val="003B21C6"/>
    <w:rsid w:val="003B5181"/>
    <w:rsid w:val="003B572F"/>
    <w:rsid w:val="003B5958"/>
    <w:rsid w:val="003B6BCA"/>
    <w:rsid w:val="003C11A0"/>
    <w:rsid w:val="003C11B9"/>
    <w:rsid w:val="003C1EA7"/>
    <w:rsid w:val="003C471F"/>
    <w:rsid w:val="003C6CEA"/>
    <w:rsid w:val="003C7A05"/>
    <w:rsid w:val="003D0074"/>
    <w:rsid w:val="003D0602"/>
    <w:rsid w:val="003D0D4F"/>
    <w:rsid w:val="003D1594"/>
    <w:rsid w:val="003D1F7D"/>
    <w:rsid w:val="003D21B8"/>
    <w:rsid w:val="003D22DD"/>
    <w:rsid w:val="003D2765"/>
    <w:rsid w:val="003D2A0B"/>
    <w:rsid w:val="003D39F2"/>
    <w:rsid w:val="003D3D35"/>
    <w:rsid w:val="003D40BE"/>
    <w:rsid w:val="003D4DDF"/>
    <w:rsid w:val="003D5B47"/>
    <w:rsid w:val="003D64F0"/>
    <w:rsid w:val="003D6BE6"/>
    <w:rsid w:val="003E035B"/>
    <w:rsid w:val="003E0454"/>
    <w:rsid w:val="003E10EC"/>
    <w:rsid w:val="003E13AF"/>
    <w:rsid w:val="003E15CF"/>
    <w:rsid w:val="003E1C15"/>
    <w:rsid w:val="003E2976"/>
    <w:rsid w:val="003E2D1C"/>
    <w:rsid w:val="003E3233"/>
    <w:rsid w:val="003E3AF2"/>
    <w:rsid w:val="003E65E0"/>
    <w:rsid w:val="003E743E"/>
    <w:rsid w:val="003F0BAB"/>
    <w:rsid w:val="003F221C"/>
    <w:rsid w:val="003F2528"/>
    <w:rsid w:val="003F2F81"/>
    <w:rsid w:val="003F5C0C"/>
    <w:rsid w:val="003F5EC4"/>
    <w:rsid w:val="003F6269"/>
    <w:rsid w:val="003F7756"/>
    <w:rsid w:val="00400308"/>
    <w:rsid w:val="00400A18"/>
    <w:rsid w:val="00401FC4"/>
    <w:rsid w:val="00402DF2"/>
    <w:rsid w:val="00403375"/>
    <w:rsid w:val="004048AB"/>
    <w:rsid w:val="0040666C"/>
    <w:rsid w:val="004100C4"/>
    <w:rsid w:val="0041013A"/>
    <w:rsid w:val="00412B46"/>
    <w:rsid w:val="004134B7"/>
    <w:rsid w:val="00413AA1"/>
    <w:rsid w:val="00413AAF"/>
    <w:rsid w:val="00413B0A"/>
    <w:rsid w:val="0041463D"/>
    <w:rsid w:val="0041468C"/>
    <w:rsid w:val="0041766F"/>
    <w:rsid w:val="00421B25"/>
    <w:rsid w:val="0042325B"/>
    <w:rsid w:val="004244E3"/>
    <w:rsid w:val="00424DE0"/>
    <w:rsid w:val="004250C8"/>
    <w:rsid w:val="00425391"/>
    <w:rsid w:val="00425E61"/>
    <w:rsid w:val="004263B5"/>
    <w:rsid w:val="00426D19"/>
    <w:rsid w:val="00432988"/>
    <w:rsid w:val="00432C4C"/>
    <w:rsid w:val="004330F4"/>
    <w:rsid w:val="004351AD"/>
    <w:rsid w:val="00437048"/>
    <w:rsid w:val="00437879"/>
    <w:rsid w:val="004404EF"/>
    <w:rsid w:val="0044131A"/>
    <w:rsid w:val="00441A5B"/>
    <w:rsid w:val="00442349"/>
    <w:rsid w:val="004425F6"/>
    <w:rsid w:val="00442805"/>
    <w:rsid w:val="0044284F"/>
    <w:rsid w:val="0044456E"/>
    <w:rsid w:val="004453E8"/>
    <w:rsid w:val="00446366"/>
    <w:rsid w:val="00450133"/>
    <w:rsid w:val="00451E8B"/>
    <w:rsid w:val="00452CAF"/>
    <w:rsid w:val="0045333F"/>
    <w:rsid w:val="004544F6"/>
    <w:rsid w:val="00454B56"/>
    <w:rsid w:val="0045531A"/>
    <w:rsid w:val="004555FC"/>
    <w:rsid w:val="0045684B"/>
    <w:rsid w:val="00460178"/>
    <w:rsid w:val="00460286"/>
    <w:rsid w:val="004608D8"/>
    <w:rsid w:val="00460B23"/>
    <w:rsid w:val="00460EB6"/>
    <w:rsid w:val="00462881"/>
    <w:rsid w:val="00462CBF"/>
    <w:rsid w:val="00463F2E"/>
    <w:rsid w:val="00464115"/>
    <w:rsid w:val="00464758"/>
    <w:rsid w:val="004652F6"/>
    <w:rsid w:val="004656A3"/>
    <w:rsid w:val="004667F5"/>
    <w:rsid w:val="004717CB"/>
    <w:rsid w:val="00471C14"/>
    <w:rsid w:val="00471F14"/>
    <w:rsid w:val="00473ECC"/>
    <w:rsid w:val="00476D3A"/>
    <w:rsid w:val="0048002C"/>
    <w:rsid w:val="0048193C"/>
    <w:rsid w:val="004828C8"/>
    <w:rsid w:val="00483EF8"/>
    <w:rsid w:val="004851BE"/>
    <w:rsid w:val="0048576F"/>
    <w:rsid w:val="0048659A"/>
    <w:rsid w:val="00486AAE"/>
    <w:rsid w:val="0049167E"/>
    <w:rsid w:val="00491D17"/>
    <w:rsid w:val="004930BF"/>
    <w:rsid w:val="0049357B"/>
    <w:rsid w:val="00493B90"/>
    <w:rsid w:val="004A000E"/>
    <w:rsid w:val="004A0AFC"/>
    <w:rsid w:val="004A1844"/>
    <w:rsid w:val="004A1C63"/>
    <w:rsid w:val="004A30F4"/>
    <w:rsid w:val="004A311C"/>
    <w:rsid w:val="004A37D7"/>
    <w:rsid w:val="004A58A5"/>
    <w:rsid w:val="004A61B2"/>
    <w:rsid w:val="004B0F7E"/>
    <w:rsid w:val="004B1378"/>
    <w:rsid w:val="004B23F2"/>
    <w:rsid w:val="004B2677"/>
    <w:rsid w:val="004B6730"/>
    <w:rsid w:val="004C0170"/>
    <w:rsid w:val="004C12F7"/>
    <w:rsid w:val="004C18E0"/>
    <w:rsid w:val="004C1D08"/>
    <w:rsid w:val="004C2981"/>
    <w:rsid w:val="004C440B"/>
    <w:rsid w:val="004C7186"/>
    <w:rsid w:val="004D16BE"/>
    <w:rsid w:val="004D1769"/>
    <w:rsid w:val="004D1A5F"/>
    <w:rsid w:val="004D20BE"/>
    <w:rsid w:val="004D6542"/>
    <w:rsid w:val="004D7367"/>
    <w:rsid w:val="004D75E8"/>
    <w:rsid w:val="004D7BB4"/>
    <w:rsid w:val="004E025D"/>
    <w:rsid w:val="004E139F"/>
    <w:rsid w:val="004E17CE"/>
    <w:rsid w:val="004E1857"/>
    <w:rsid w:val="004E1E3F"/>
    <w:rsid w:val="004E4205"/>
    <w:rsid w:val="004E48CA"/>
    <w:rsid w:val="004E5B8D"/>
    <w:rsid w:val="004E68B9"/>
    <w:rsid w:val="004E6947"/>
    <w:rsid w:val="004E709B"/>
    <w:rsid w:val="004E77BB"/>
    <w:rsid w:val="004F0BBB"/>
    <w:rsid w:val="004F1102"/>
    <w:rsid w:val="004F1768"/>
    <w:rsid w:val="004F1CAE"/>
    <w:rsid w:val="004F22CE"/>
    <w:rsid w:val="004F2E1E"/>
    <w:rsid w:val="004F3E5E"/>
    <w:rsid w:val="004F4448"/>
    <w:rsid w:val="004F44D0"/>
    <w:rsid w:val="004F47D0"/>
    <w:rsid w:val="004F505C"/>
    <w:rsid w:val="004F5DE1"/>
    <w:rsid w:val="004F6C41"/>
    <w:rsid w:val="004F7504"/>
    <w:rsid w:val="004F7AAB"/>
    <w:rsid w:val="00500863"/>
    <w:rsid w:val="005010A7"/>
    <w:rsid w:val="005017BB"/>
    <w:rsid w:val="005026C0"/>
    <w:rsid w:val="00503066"/>
    <w:rsid w:val="0050390A"/>
    <w:rsid w:val="00503E76"/>
    <w:rsid w:val="00506303"/>
    <w:rsid w:val="005075C0"/>
    <w:rsid w:val="005079B8"/>
    <w:rsid w:val="00507E87"/>
    <w:rsid w:val="0051064D"/>
    <w:rsid w:val="00510AA0"/>
    <w:rsid w:val="00510AC9"/>
    <w:rsid w:val="00512DB6"/>
    <w:rsid w:val="005132CC"/>
    <w:rsid w:val="005138E2"/>
    <w:rsid w:val="00516FE7"/>
    <w:rsid w:val="00517570"/>
    <w:rsid w:val="0052121D"/>
    <w:rsid w:val="00522A49"/>
    <w:rsid w:val="00523217"/>
    <w:rsid w:val="0052327F"/>
    <w:rsid w:val="0052358F"/>
    <w:rsid w:val="00523826"/>
    <w:rsid w:val="00523838"/>
    <w:rsid w:val="005238F0"/>
    <w:rsid w:val="00523928"/>
    <w:rsid w:val="0052444A"/>
    <w:rsid w:val="005253B2"/>
    <w:rsid w:val="005257F3"/>
    <w:rsid w:val="00525B3C"/>
    <w:rsid w:val="00526B3E"/>
    <w:rsid w:val="00527AB1"/>
    <w:rsid w:val="0053013D"/>
    <w:rsid w:val="00531B8D"/>
    <w:rsid w:val="00532527"/>
    <w:rsid w:val="00532E09"/>
    <w:rsid w:val="005345AD"/>
    <w:rsid w:val="00534E60"/>
    <w:rsid w:val="0053593D"/>
    <w:rsid w:val="00536937"/>
    <w:rsid w:val="005373F7"/>
    <w:rsid w:val="00537F18"/>
    <w:rsid w:val="00540624"/>
    <w:rsid w:val="00540736"/>
    <w:rsid w:val="0054237D"/>
    <w:rsid w:val="00544362"/>
    <w:rsid w:val="005448C0"/>
    <w:rsid w:val="00545739"/>
    <w:rsid w:val="0054581D"/>
    <w:rsid w:val="00546D64"/>
    <w:rsid w:val="00547AA8"/>
    <w:rsid w:val="00547BB7"/>
    <w:rsid w:val="0055040D"/>
    <w:rsid w:val="005507B2"/>
    <w:rsid w:val="0055099F"/>
    <w:rsid w:val="0055188F"/>
    <w:rsid w:val="005520E6"/>
    <w:rsid w:val="0055285B"/>
    <w:rsid w:val="00554BEE"/>
    <w:rsid w:val="00555768"/>
    <w:rsid w:val="00555B0F"/>
    <w:rsid w:val="00555CAB"/>
    <w:rsid w:val="00556872"/>
    <w:rsid w:val="00557329"/>
    <w:rsid w:val="00557F61"/>
    <w:rsid w:val="005614FE"/>
    <w:rsid w:val="005628A5"/>
    <w:rsid w:val="00562BBB"/>
    <w:rsid w:val="00563BD3"/>
    <w:rsid w:val="005655B7"/>
    <w:rsid w:val="005657F5"/>
    <w:rsid w:val="00565853"/>
    <w:rsid w:val="00567B4A"/>
    <w:rsid w:val="005718D1"/>
    <w:rsid w:val="00572FD0"/>
    <w:rsid w:val="005739C3"/>
    <w:rsid w:val="00573CF3"/>
    <w:rsid w:val="0057470F"/>
    <w:rsid w:val="005756F1"/>
    <w:rsid w:val="0057586A"/>
    <w:rsid w:val="00575C72"/>
    <w:rsid w:val="0057645D"/>
    <w:rsid w:val="00580CC4"/>
    <w:rsid w:val="00581276"/>
    <w:rsid w:val="00581540"/>
    <w:rsid w:val="00581C63"/>
    <w:rsid w:val="005820D0"/>
    <w:rsid w:val="00582B89"/>
    <w:rsid w:val="005836DA"/>
    <w:rsid w:val="00584667"/>
    <w:rsid w:val="00584AED"/>
    <w:rsid w:val="0058599A"/>
    <w:rsid w:val="00585A4B"/>
    <w:rsid w:val="005919A1"/>
    <w:rsid w:val="00592BF2"/>
    <w:rsid w:val="00593734"/>
    <w:rsid w:val="00593E52"/>
    <w:rsid w:val="00595019"/>
    <w:rsid w:val="00595F07"/>
    <w:rsid w:val="00596BEA"/>
    <w:rsid w:val="005970FE"/>
    <w:rsid w:val="005972D4"/>
    <w:rsid w:val="005A00F8"/>
    <w:rsid w:val="005A1A9A"/>
    <w:rsid w:val="005A1B09"/>
    <w:rsid w:val="005A20AB"/>
    <w:rsid w:val="005A3544"/>
    <w:rsid w:val="005A3621"/>
    <w:rsid w:val="005A3912"/>
    <w:rsid w:val="005A419D"/>
    <w:rsid w:val="005A41B3"/>
    <w:rsid w:val="005A5386"/>
    <w:rsid w:val="005A57B4"/>
    <w:rsid w:val="005A628A"/>
    <w:rsid w:val="005A6418"/>
    <w:rsid w:val="005A6647"/>
    <w:rsid w:val="005A7385"/>
    <w:rsid w:val="005A7522"/>
    <w:rsid w:val="005A75C2"/>
    <w:rsid w:val="005A761F"/>
    <w:rsid w:val="005B3A01"/>
    <w:rsid w:val="005B3E33"/>
    <w:rsid w:val="005B4530"/>
    <w:rsid w:val="005B4E1A"/>
    <w:rsid w:val="005C02F1"/>
    <w:rsid w:val="005C1605"/>
    <w:rsid w:val="005C1BBD"/>
    <w:rsid w:val="005C2761"/>
    <w:rsid w:val="005C2E5B"/>
    <w:rsid w:val="005C384F"/>
    <w:rsid w:val="005C5EC2"/>
    <w:rsid w:val="005C63EE"/>
    <w:rsid w:val="005C6A76"/>
    <w:rsid w:val="005C7919"/>
    <w:rsid w:val="005D19E8"/>
    <w:rsid w:val="005D1B0E"/>
    <w:rsid w:val="005D5A08"/>
    <w:rsid w:val="005D688C"/>
    <w:rsid w:val="005D76D9"/>
    <w:rsid w:val="005E0B14"/>
    <w:rsid w:val="005E138D"/>
    <w:rsid w:val="005E15FD"/>
    <w:rsid w:val="005E2443"/>
    <w:rsid w:val="005E2784"/>
    <w:rsid w:val="005E3C4E"/>
    <w:rsid w:val="005E45AC"/>
    <w:rsid w:val="005E673E"/>
    <w:rsid w:val="005E7A43"/>
    <w:rsid w:val="005E7E2C"/>
    <w:rsid w:val="005F0634"/>
    <w:rsid w:val="005F0C33"/>
    <w:rsid w:val="005F128A"/>
    <w:rsid w:val="005F207F"/>
    <w:rsid w:val="005F2955"/>
    <w:rsid w:val="005F4693"/>
    <w:rsid w:val="005F488D"/>
    <w:rsid w:val="005F4EE2"/>
    <w:rsid w:val="005F50C3"/>
    <w:rsid w:val="005F5750"/>
    <w:rsid w:val="006001E7"/>
    <w:rsid w:val="00600D40"/>
    <w:rsid w:val="0060316B"/>
    <w:rsid w:val="006035CA"/>
    <w:rsid w:val="006053A8"/>
    <w:rsid w:val="006057BB"/>
    <w:rsid w:val="00606642"/>
    <w:rsid w:val="00607570"/>
    <w:rsid w:val="00607DF3"/>
    <w:rsid w:val="00611491"/>
    <w:rsid w:val="00611703"/>
    <w:rsid w:val="00613936"/>
    <w:rsid w:val="006140DE"/>
    <w:rsid w:val="00614191"/>
    <w:rsid w:val="0061495A"/>
    <w:rsid w:val="00614A91"/>
    <w:rsid w:val="006155DB"/>
    <w:rsid w:val="00615D34"/>
    <w:rsid w:val="00617AE9"/>
    <w:rsid w:val="00620856"/>
    <w:rsid w:val="00624944"/>
    <w:rsid w:val="006262EA"/>
    <w:rsid w:val="00626373"/>
    <w:rsid w:val="006277D1"/>
    <w:rsid w:val="00631D79"/>
    <w:rsid w:val="00632B92"/>
    <w:rsid w:val="00633B2B"/>
    <w:rsid w:val="00633B37"/>
    <w:rsid w:val="00633FBC"/>
    <w:rsid w:val="00634133"/>
    <w:rsid w:val="0063519F"/>
    <w:rsid w:val="00636087"/>
    <w:rsid w:val="00636093"/>
    <w:rsid w:val="00636ACA"/>
    <w:rsid w:val="00636E31"/>
    <w:rsid w:val="00636F9D"/>
    <w:rsid w:val="0063742D"/>
    <w:rsid w:val="0063762C"/>
    <w:rsid w:val="00640330"/>
    <w:rsid w:val="00641615"/>
    <w:rsid w:val="006434A3"/>
    <w:rsid w:val="00643B79"/>
    <w:rsid w:val="00644D1B"/>
    <w:rsid w:val="0064527A"/>
    <w:rsid w:val="00645BDF"/>
    <w:rsid w:val="00647363"/>
    <w:rsid w:val="006475B3"/>
    <w:rsid w:val="00647E3F"/>
    <w:rsid w:val="006507AE"/>
    <w:rsid w:val="00650D52"/>
    <w:rsid w:val="006522ED"/>
    <w:rsid w:val="00654177"/>
    <w:rsid w:val="00654CD3"/>
    <w:rsid w:val="00655405"/>
    <w:rsid w:val="00655914"/>
    <w:rsid w:val="00655AEC"/>
    <w:rsid w:val="00656249"/>
    <w:rsid w:val="006562AA"/>
    <w:rsid w:val="00656FE0"/>
    <w:rsid w:val="00661454"/>
    <w:rsid w:val="006617C7"/>
    <w:rsid w:val="00661EE1"/>
    <w:rsid w:val="00662617"/>
    <w:rsid w:val="00665276"/>
    <w:rsid w:val="00671D8E"/>
    <w:rsid w:val="00672180"/>
    <w:rsid w:val="00672B35"/>
    <w:rsid w:val="00672F93"/>
    <w:rsid w:val="0067302E"/>
    <w:rsid w:val="0067394A"/>
    <w:rsid w:val="006753B3"/>
    <w:rsid w:val="006759F8"/>
    <w:rsid w:val="006805DB"/>
    <w:rsid w:val="00680E6B"/>
    <w:rsid w:val="00681ADD"/>
    <w:rsid w:val="00682802"/>
    <w:rsid w:val="00684D71"/>
    <w:rsid w:val="00685D10"/>
    <w:rsid w:val="006863AC"/>
    <w:rsid w:val="00687B2B"/>
    <w:rsid w:val="00687D1A"/>
    <w:rsid w:val="00691384"/>
    <w:rsid w:val="006921A0"/>
    <w:rsid w:val="00692668"/>
    <w:rsid w:val="00692C7B"/>
    <w:rsid w:val="00693310"/>
    <w:rsid w:val="00694247"/>
    <w:rsid w:val="00694684"/>
    <w:rsid w:val="00697712"/>
    <w:rsid w:val="00697A68"/>
    <w:rsid w:val="006A0522"/>
    <w:rsid w:val="006A1075"/>
    <w:rsid w:val="006A2490"/>
    <w:rsid w:val="006A268C"/>
    <w:rsid w:val="006A2E1D"/>
    <w:rsid w:val="006A3250"/>
    <w:rsid w:val="006A3E40"/>
    <w:rsid w:val="006A475E"/>
    <w:rsid w:val="006A72E3"/>
    <w:rsid w:val="006B17CA"/>
    <w:rsid w:val="006B256E"/>
    <w:rsid w:val="006B2D46"/>
    <w:rsid w:val="006B3AA7"/>
    <w:rsid w:val="006B502C"/>
    <w:rsid w:val="006B591A"/>
    <w:rsid w:val="006B72E2"/>
    <w:rsid w:val="006B7549"/>
    <w:rsid w:val="006B7ECD"/>
    <w:rsid w:val="006C0155"/>
    <w:rsid w:val="006C05E5"/>
    <w:rsid w:val="006C0E8A"/>
    <w:rsid w:val="006C1561"/>
    <w:rsid w:val="006C2522"/>
    <w:rsid w:val="006C2E5A"/>
    <w:rsid w:val="006C3AD3"/>
    <w:rsid w:val="006C4073"/>
    <w:rsid w:val="006C4520"/>
    <w:rsid w:val="006C4D49"/>
    <w:rsid w:val="006C6496"/>
    <w:rsid w:val="006C674D"/>
    <w:rsid w:val="006C6EF4"/>
    <w:rsid w:val="006C728A"/>
    <w:rsid w:val="006C750C"/>
    <w:rsid w:val="006D23BE"/>
    <w:rsid w:val="006D2460"/>
    <w:rsid w:val="006D399B"/>
    <w:rsid w:val="006D4E5E"/>
    <w:rsid w:val="006D4F2C"/>
    <w:rsid w:val="006D5070"/>
    <w:rsid w:val="006D73DB"/>
    <w:rsid w:val="006E0507"/>
    <w:rsid w:val="006E0A1A"/>
    <w:rsid w:val="006E1401"/>
    <w:rsid w:val="006E15DA"/>
    <w:rsid w:val="006E24F4"/>
    <w:rsid w:val="006E2513"/>
    <w:rsid w:val="006E353D"/>
    <w:rsid w:val="006E37B5"/>
    <w:rsid w:val="006E3CA6"/>
    <w:rsid w:val="006E4975"/>
    <w:rsid w:val="006E52BE"/>
    <w:rsid w:val="006E5C47"/>
    <w:rsid w:val="006E6A3E"/>
    <w:rsid w:val="006E72B1"/>
    <w:rsid w:val="006F0C97"/>
    <w:rsid w:val="006F0F41"/>
    <w:rsid w:val="006F36D2"/>
    <w:rsid w:val="006F4BF3"/>
    <w:rsid w:val="006F5BB4"/>
    <w:rsid w:val="006F6313"/>
    <w:rsid w:val="006F7A63"/>
    <w:rsid w:val="00701884"/>
    <w:rsid w:val="007018DC"/>
    <w:rsid w:val="00701D2E"/>
    <w:rsid w:val="007031CE"/>
    <w:rsid w:val="0070331E"/>
    <w:rsid w:val="00710A01"/>
    <w:rsid w:val="00710D9C"/>
    <w:rsid w:val="0071197E"/>
    <w:rsid w:val="00712075"/>
    <w:rsid w:val="007121B9"/>
    <w:rsid w:val="00715222"/>
    <w:rsid w:val="007152E1"/>
    <w:rsid w:val="00715967"/>
    <w:rsid w:val="0071634C"/>
    <w:rsid w:val="00716C4B"/>
    <w:rsid w:val="0071779F"/>
    <w:rsid w:val="00720473"/>
    <w:rsid w:val="00721D55"/>
    <w:rsid w:val="00723038"/>
    <w:rsid w:val="0072472A"/>
    <w:rsid w:val="00724CF7"/>
    <w:rsid w:val="0072547A"/>
    <w:rsid w:val="007257B1"/>
    <w:rsid w:val="007257E5"/>
    <w:rsid w:val="00725C00"/>
    <w:rsid w:val="007272BD"/>
    <w:rsid w:val="00727B2A"/>
    <w:rsid w:val="00730721"/>
    <w:rsid w:val="0073200A"/>
    <w:rsid w:val="0073255A"/>
    <w:rsid w:val="0073656A"/>
    <w:rsid w:val="0073658A"/>
    <w:rsid w:val="007369B8"/>
    <w:rsid w:val="00737201"/>
    <w:rsid w:val="00737728"/>
    <w:rsid w:val="007379F0"/>
    <w:rsid w:val="00742B9E"/>
    <w:rsid w:val="00742C9E"/>
    <w:rsid w:val="00744092"/>
    <w:rsid w:val="007444A8"/>
    <w:rsid w:val="007451EF"/>
    <w:rsid w:val="0074695C"/>
    <w:rsid w:val="00747180"/>
    <w:rsid w:val="007475D8"/>
    <w:rsid w:val="0074776E"/>
    <w:rsid w:val="00747F9A"/>
    <w:rsid w:val="007500E5"/>
    <w:rsid w:val="00750894"/>
    <w:rsid w:val="00750DD5"/>
    <w:rsid w:val="00751C99"/>
    <w:rsid w:val="007520A7"/>
    <w:rsid w:val="007528E6"/>
    <w:rsid w:val="00752F67"/>
    <w:rsid w:val="007558E8"/>
    <w:rsid w:val="00756FA5"/>
    <w:rsid w:val="00757227"/>
    <w:rsid w:val="00760CA6"/>
    <w:rsid w:val="00763EA9"/>
    <w:rsid w:val="00764D80"/>
    <w:rsid w:val="007659AD"/>
    <w:rsid w:val="00765CC0"/>
    <w:rsid w:val="00767210"/>
    <w:rsid w:val="00770110"/>
    <w:rsid w:val="0077067F"/>
    <w:rsid w:val="00771C5C"/>
    <w:rsid w:val="00775057"/>
    <w:rsid w:val="00776BFE"/>
    <w:rsid w:val="007774A2"/>
    <w:rsid w:val="0077792E"/>
    <w:rsid w:val="007809B4"/>
    <w:rsid w:val="00783F20"/>
    <w:rsid w:val="007849EB"/>
    <w:rsid w:val="00785864"/>
    <w:rsid w:val="00785B9B"/>
    <w:rsid w:val="007866BC"/>
    <w:rsid w:val="00787862"/>
    <w:rsid w:val="00787888"/>
    <w:rsid w:val="007903A3"/>
    <w:rsid w:val="00790474"/>
    <w:rsid w:val="00791FF2"/>
    <w:rsid w:val="00792EC8"/>
    <w:rsid w:val="00797B22"/>
    <w:rsid w:val="007A16E0"/>
    <w:rsid w:val="007A219E"/>
    <w:rsid w:val="007A33B8"/>
    <w:rsid w:val="007A35CB"/>
    <w:rsid w:val="007A37EF"/>
    <w:rsid w:val="007A5590"/>
    <w:rsid w:val="007A5FDC"/>
    <w:rsid w:val="007A6078"/>
    <w:rsid w:val="007A6A66"/>
    <w:rsid w:val="007A7521"/>
    <w:rsid w:val="007A7CB1"/>
    <w:rsid w:val="007A7E48"/>
    <w:rsid w:val="007B073B"/>
    <w:rsid w:val="007B14E0"/>
    <w:rsid w:val="007B202E"/>
    <w:rsid w:val="007B246E"/>
    <w:rsid w:val="007B2732"/>
    <w:rsid w:val="007B2E95"/>
    <w:rsid w:val="007B35C5"/>
    <w:rsid w:val="007B407B"/>
    <w:rsid w:val="007B468D"/>
    <w:rsid w:val="007B582F"/>
    <w:rsid w:val="007B63D4"/>
    <w:rsid w:val="007B6515"/>
    <w:rsid w:val="007B74F5"/>
    <w:rsid w:val="007B7E25"/>
    <w:rsid w:val="007C054B"/>
    <w:rsid w:val="007C0E0F"/>
    <w:rsid w:val="007C490E"/>
    <w:rsid w:val="007C5AB1"/>
    <w:rsid w:val="007C5D04"/>
    <w:rsid w:val="007C6062"/>
    <w:rsid w:val="007D0C48"/>
    <w:rsid w:val="007D1077"/>
    <w:rsid w:val="007D468B"/>
    <w:rsid w:val="007D4E06"/>
    <w:rsid w:val="007D790A"/>
    <w:rsid w:val="007D7CC7"/>
    <w:rsid w:val="007E02C1"/>
    <w:rsid w:val="007E1AA7"/>
    <w:rsid w:val="007E1E52"/>
    <w:rsid w:val="007E2CB4"/>
    <w:rsid w:val="007E3138"/>
    <w:rsid w:val="007E4B25"/>
    <w:rsid w:val="007E5176"/>
    <w:rsid w:val="007E71EA"/>
    <w:rsid w:val="007F05B2"/>
    <w:rsid w:val="007F19FD"/>
    <w:rsid w:val="007F32CC"/>
    <w:rsid w:val="007F4053"/>
    <w:rsid w:val="007F4EA6"/>
    <w:rsid w:val="007F591D"/>
    <w:rsid w:val="007F789D"/>
    <w:rsid w:val="007F7D75"/>
    <w:rsid w:val="00800E8B"/>
    <w:rsid w:val="00801D88"/>
    <w:rsid w:val="00802764"/>
    <w:rsid w:val="00803031"/>
    <w:rsid w:val="00803279"/>
    <w:rsid w:val="00803ECF"/>
    <w:rsid w:val="008043A0"/>
    <w:rsid w:val="00804672"/>
    <w:rsid w:val="008047A5"/>
    <w:rsid w:val="00805510"/>
    <w:rsid w:val="00805864"/>
    <w:rsid w:val="008069CE"/>
    <w:rsid w:val="00806DE0"/>
    <w:rsid w:val="0081074F"/>
    <w:rsid w:val="00810C10"/>
    <w:rsid w:val="008128AC"/>
    <w:rsid w:val="00812AE3"/>
    <w:rsid w:val="00812C24"/>
    <w:rsid w:val="00813429"/>
    <w:rsid w:val="00813DEB"/>
    <w:rsid w:val="008145F1"/>
    <w:rsid w:val="008161F1"/>
    <w:rsid w:val="00816384"/>
    <w:rsid w:val="00817AD4"/>
    <w:rsid w:val="00821553"/>
    <w:rsid w:val="00821B78"/>
    <w:rsid w:val="00823D8A"/>
    <w:rsid w:val="008261EF"/>
    <w:rsid w:val="00826A9F"/>
    <w:rsid w:val="00830BAC"/>
    <w:rsid w:val="00831228"/>
    <w:rsid w:val="00831A86"/>
    <w:rsid w:val="00831F92"/>
    <w:rsid w:val="008327E7"/>
    <w:rsid w:val="00832F79"/>
    <w:rsid w:val="00835CFC"/>
    <w:rsid w:val="00836F76"/>
    <w:rsid w:val="0084075D"/>
    <w:rsid w:val="00841C52"/>
    <w:rsid w:val="008423F9"/>
    <w:rsid w:val="008426D7"/>
    <w:rsid w:val="008450C7"/>
    <w:rsid w:val="00845787"/>
    <w:rsid w:val="00847B98"/>
    <w:rsid w:val="00850102"/>
    <w:rsid w:val="00851A2F"/>
    <w:rsid w:val="00851C75"/>
    <w:rsid w:val="008528D0"/>
    <w:rsid w:val="008543E5"/>
    <w:rsid w:val="008550F1"/>
    <w:rsid w:val="008551F2"/>
    <w:rsid w:val="008552BE"/>
    <w:rsid w:val="0085580B"/>
    <w:rsid w:val="00855FFE"/>
    <w:rsid w:val="00857232"/>
    <w:rsid w:val="008601A6"/>
    <w:rsid w:val="008607A8"/>
    <w:rsid w:val="00861CBB"/>
    <w:rsid w:val="0086230D"/>
    <w:rsid w:val="00862710"/>
    <w:rsid w:val="00862A5C"/>
    <w:rsid w:val="0086352B"/>
    <w:rsid w:val="008654D2"/>
    <w:rsid w:val="00865F9D"/>
    <w:rsid w:val="008757E8"/>
    <w:rsid w:val="00881843"/>
    <w:rsid w:val="0088215C"/>
    <w:rsid w:val="008822D1"/>
    <w:rsid w:val="00882335"/>
    <w:rsid w:val="00882BD0"/>
    <w:rsid w:val="00882DC5"/>
    <w:rsid w:val="0089019C"/>
    <w:rsid w:val="00891CF8"/>
    <w:rsid w:val="008921BA"/>
    <w:rsid w:val="00892B3C"/>
    <w:rsid w:val="008934AA"/>
    <w:rsid w:val="00893800"/>
    <w:rsid w:val="008941A9"/>
    <w:rsid w:val="008964B3"/>
    <w:rsid w:val="008973F3"/>
    <w:rsid w:val="008A1930"/>
    <w:rsid w:val="008A1BEA"/>
    <w:rsid w:val="008A1EE1"/>
    <w:rsid w:val="008A370C"/>
    <w:rsid w:val="008A445C"/>
    <w:rsid w:val="008A456D"/>
    <w:rsid w:val="008A4FCA"/>
    <w:rsid w:val="008B18D9"/>
    <w:rsid w:val="008B41B8"/>
    <w:rsid w:val="008B4C57"/>
    <w:rsid w:val="008B7AE3"/>
    <w:rsid w:val="008C0F5D"/>
    <w:rsid w:val="008C3035"/>
    <w:rsid w:val="008C33FC"/>
    <w:rsid w:val="008C3E57"/>
    <w:rsid w:val="008C4C78"/>
    <w:rsid w:val="008C4EFF"/>
    <w:rsid w:val="008C5D88"/>
    <w:rsid w:val="008C63FC"/>
    <w:rsid w:val="008C6CB5"/>
    <w:rsid w:val="008C7088"/>
    <w:rsid w:val="008C728F"/>
    <w:rsid w:val="008C74C1"/>
    <w:rsid w:val="008C7DEA"/>
    <w:rsid w:val="008D0BDA"/>
    <w:rsid w:val="008D1D4D"/>
    <w:rsid w:val="008D5CD1"/>
    <w:rsid w:val="008D6F88"/>
    <w:rsid w:val="008D7B7A"/>
    <w:rsid w:val="008E066D"/>
    <w:rsid w:val="008E1FD2"/>
    <w:rsid w:val="008E3172"/>
    <w:rsid w:val="008E338F"/>
    <w:rsid w:val="008E3FF5"/>
    <w:rsid w:val="008E4DB5"/>
    <w:rsid w:val="008E5436"/>
    <w:rsid w:val="008E5599"/>
    <w:rsid w:val="008E5947"/>
    <w:rsid w:val="008E5F77"/>
    <w:rsid w:val="008F0DA0"/>
    <w:rsid w:val="008F1A12"/>
    <w:rsid w:val="008F21D3"/>
    <w:rsid w:val="008F222B"/>
    <w:rsid w:val="008F2D40"/>
    <w:rsid w:val="008F3F5C"/>
    <w:rsid w:val="008F4FB2"/>
    <w:rsid w:val="008F62FB"/>
    <w:rsid w:val="008F7045"/>
    <w:rsid w:val="008F713C"/>
    <w:rsid w:val="008F750C"/>
    <w:rsid w:val="00900F11"/>
    <w:rsid w:val="00900FCC"/>
    <w:rsid w:val="00901619"/>
    <w:rsid w:val="00901897"/>
    <w:rsid w:val="00901BE0"/>
    <w:rsid w:val="009027C4"/>
    <w:rsid w:val="009032E1"/>
    <w:rsid w:val="00903C22"/>
    <w:rsid w:val="00903F6B"/>
    <w:rsid w:val="00904032"/>
    <w:rsid w:val="00904888"/>
    <w:rsid w:val="00904E94"/>
    <w:rsid w:val="00905443"/>
    <w:rsid w:val="009065FE"/>
    <w:rsid w:val="00910A6E"/>
    <w:rsid w:val="00911B39"/>
    <w:rsid w:val="00911EBD"/>
    <w:rsid w:val="00912395"/>
    <w:rsid w:val="009123F4"/>
    <w:rsid w:val="00912548"/>
    <w:rsid w:val="0091339B"/>
    <w:rsid w:val="00913776"/>
    <w:rsid w:val="00914236"/>
    <w:rsid w:val="0091521C"/>
    <w:rsid w:val="00915772"/>
    <w:rsid w:val="00915C67"/>
    <w:rsid w:val="009208A7"/>
    <w:rsid w:val="00921202"/>
    <w:rsid w:val="00921B83"/>
    <w:rsid w:val="00923C5C"/>
    <w:rsid w:val="00930AB1"/>
    <w:rsid w:val="009336CA"/>
    <w:rsid w:val="00934124"/>
    <w:rsid w:val="00934299"/>
    <w:rsid w:val="009346B8"/>
    <w:rsid w:val="009349F9"/>
    <w:rsid w:val="00935289"/>
    <w:rsid w:val="00936933"/>
    <w:rsid w:val="00936DF5"/>
    <w:rsid w:val="009410B4"/>
    <w:rsid w:val="009415D8"/>
    <w:rsid w:val="00941915"/>
    <w:rsid w:val="00941CC0"/>
    <w:rsid w:val="00943CD7"/>
    <w:rsid w:val="00943D9D"/>
    <w:rsid w:val="0094459E"/>
    <w:rsid w:val="00944EED"/>
    <w:rsid w:val="00946258"/>
    <w:rsid w:val="009475C2"/>
    <w:rsid w:val="00947FFB"/>
    <w:rsid w:val="009552A3"/>
    <w:rsid w:val="00955316"/>
    <w:rsid w:val="0095712C"/>
    <w:rsid w:val="0096062F"/>
    <w:rsid w:val="0096450D"/>
    <w:rsid w:val="009647DD"/>
    <w:rsid w:val="00965613"/>
    <w:rsid w:val="009656C6"/>
    <w:rsid w:val="009659E6"/>
    <w:rsid w:val="00965C2F"/>
    <w:rsid w:val="009662EE"/>
    <w:rsid w:val="009670DC"/>
    <w:rsid w:val="0097022C"/>
    <w:rsid w:val="00972A9E"/>
    <w:rsid w:val="00972FFE"/>
    <w:rsid w:val="0097336A"/>
    <w:rsid w:val="00973C7A"/>
    <w:rsid w:val="0097420A"/>
    <w:rsid w:val="0097516D"/>
    <w:rsid w:val="009756E6"/>
    <w:rsid w:val="00975BE9"/>
    <w:rsid w:val="00982CD5"/>
    <w:rsid w:val="00982EB8"/>
    <w:rsid w:val="00982F5C"/>
    <w:rsid w:val="00983BA2"/>
    <w:rsid w:val="00984639"/>
    <w:rsid w:val="00984865"/>
    <w:rsid w:val="00985474"/>
    <w:rsid w:val="0098561D"/>
    <w:rsid w:val="00986495"/>
    <w:rsid w:val="009877A3"/>
    <w:rsid w:val="0099015D"/>
    <w:rsid w:val="009903AA"/>
    <w:rsid w:val="00991829"/>
    <w:rsid w:val="009918AF"/>
    <w:rsid w:val="00994951"/>
    <w:rsid w:val="00996550"/>
    <w:rsid w:val="009968CD"/>
    <w:rsid w:val="009A1200"/>
    <w:rsid w:val="009A2AE3"/>
    <w:rsid w:val="009A31AA"/>
    <w:rsid w:val="009A344F"/>
    <w:rsid w:val="009A69EA"/>
    <w:rsid w:val="009A6E1C"/>
    <w:rsid w:val="009A76A4"/>
    <w:rsid w:val="009A77E7"/>
    <w:rsid w:val="009B1938"/>
    <w:rsid w:val="009B3298"/>
    <w:rsid w:val="009B42E3"/>
    <w:rsid w:val="009B4905"/>
    <w:rsid w:val="009B4B2E"/>
    <w:rsid w:val="009B4D8E"/>
    <w:rsid w:val="009B5A73"/>
    <w:rsid w:val="009B5C32"/>
    <w:rsid w:val="009B5D30"/>
    <w:rsid w:val="009B72A5"/>
    <w:rsid w:val="009C06FD"/>
    <w:rsid w:val="009C0828"/>
    <w:rsid w:val="009C143E"/>
    <w:rsid w:val="009C2462"/>
    <w:rsid w:val="009C26F6"/>
    <w:rsid w:val="009C3985"/>
    <w:rsid w:val="009C4B12"/>
    <w:rsid w:val="009C71D7"/>
    <w:rsid w:val="009C77A3"/>
    <w:rsid w:val="009C7F13"/>
    <w:rsid w:val="009D105C"/>
    <w:rsid w:val="009D125D"/>
    <w:rsid w:val="009D1388"/>
    <w:rsid w:val="009D2CAA"/>
    <w:rsid w:val="009D3C96"/>
    <w:rsid w:val="009D3D38"/>
    <w:rsid w:val="009D4437"/>
    <w:rsid w:val="009D4879"/>
    <w:rsid w:val="009D50F5"/>
    <w:rsid w:val="009D5FF4"/>
    <w:rsid w:val="009D6050"/>
    <w:rsid w:val="009D6A48"/>
    <w:rsid w:val="009D728F"/>
    <w:rsid w:val="009D7BD9"/>
    <w:rsid w:val="009E150A"/>
    <w:rsid w:val="009E190A"/>
    <w:rsid w:val="009E1D9B"/>
    <w:rsid w:val="009E1E7D"/>
    <w:rsid w:val="009E1FA9"/>
    <w:rsid w:val="009E1FFD"/>
    <w:rsid w:val="009E2580"/>
    <w:rsid w:val="009E2FD2"/>
    <w:rsid w:val="009E3D4D"/>
    <w:rsid w:val="009E562E"/>
    <w:rsid w:val="009E5A4B"/>
    <w:rsid w:val="009E647E"/>
    <w:rsid w:val="009E6BBB"/>
    <w:rsid w:val="009E728E"/>
    <w:rsid w:val="009F01C1"/>
    <w:rsid w:val="009F27DC"/>
    <w:rsid w:val="009F2B66"/>
    <w:rsid w:val="009F537D"/>
    <w:rsid w:val="00A00F23"/>
    <w:rsid w:val="00A014DE"/>
    <w:rsid w:val="00A037BE"/>
    <w:rsid w:val="00A03C6D"/>
    <w:rsid w:val="00A04181"/>
    <w:rsid w:val="00A05BB3"/>
    <w:rsid w:val="00A10007"/>
    <w:rsid w:val="00A129AE"/>
    <w:rsid w:val="00A12EBB"/>
    <w:rsid w:val="00A12FAB"/>
    <w:rsid w:val="00A131CB"/>
    <w:rsid w:val="00A136CE"/>
    <w:rsid w:val="00A143FB"/>
    <w:rsid w:val="00A15342"/>
    <w:rsid w:val="00A15B0B"/>
    <w:rsid w:val="00A21199"/>
    <w:rsid w:val="00A231EF"/>
    <w:rsid w:val="00A23333"/>
    <w:rsid w:val="00A23603"/>
    <w:rsid w:val="00A23862"/>
    <w:rsid w:val="00A23E1B"/>
    <w:rsid w:val="00A2436E"/>
    <w:rsid w:val="00A2525C"/>
    <w:rsid w:val="00A26B9C"/>
    <w:rsid w:val="00A31C64"/>
    <w:rsid w:val="00A32AD4"/>
    <w:rsid w:val="00A33A59"/>
    <w:rsid w:val="00A33C3F"/>
    <w:rsid w:val="00A33EF5"/>
    <w:rsid w:val="00A35216"/>
    <w:rsid w:val="00A37179"/>
    <w:rsid w:val="00A379D5"/>
    <w:rsid w:val="00A4080A"/>
    <w:rsid w:val="00A409EE"/>
    <w:rsid w:val="00A417B1"/>
    <w:rsid w:val="00A41BBF"/>
    <w:rsid w:val="00A42062"/>
    <w:rsid w:val="00A43156"/>
    <w:rsid w:val="00A43D99"/>
    <w:rsid w:val="00A4438F"/>
    <w:rsid w:val="00A4554D"/>
    <w:rsid w:val="00A47332"/>
    <w:rsid w:val="00A503AB"/>
    <w:rsid w:val="00A5108B"/>
    <w:rsid w:val="00A52C49"/>
    <w:rsid w:val="00A53177"/>
    <w:rsid w:val="00A532C5"/>
    <w:rsid w:val="00A53943"/>
    <w:rsid w:val="00A53C70"/>
    <w:rsid w:val="00A5516A"/>
    <w:rsid w:val="00A55A38"/>
    <w:rsid w:val="00A57734"/>
    <w:rsid w:val="00A57D89"/>
    <w:rsid w:val="00A63BCB"/>
    <w:rsid w:val="00A63CE8"/>
    <w:rsid w:val="00A6492F"/>
    <w:rsid w:val="00A64ECF"/>
    <w:rsid w:val="00A718C4"/>
    <w:rsid w:val="00A720B6"/>
    <w:rsid w:val="00A756D4"/>
    <w:rsid w:val="00A761C8"/>
    <w:rsid w:val="00A7643C"/>
    <w:rsid w:val="00A77685"/>
    <w:rsid w:val="00A77712"/>
    <w:rsid w:val="00A77AE9"/>
    <w:rsid w:val="00A82C7E"/>
    <w:rsid w:val="00A8480E"/>
    <w:rsid w:val="00A8527D"/>
    <w:rsid w:val="00A85659"/>
    <w:rsid w:val="00A8756A"/>
    <w:rsid w:val="00A93021"/>
    <w:rsid w:val="00A93169"/>
    <w:rsid w:val="00A948CA"/>
    <w:rsid w:val="00A965F8"/>
    <w:rsid w:val="00A967EE"/>
    <w:rsid w:val="00A97635"/>
    <w:rsid w:val="00AA1411"/>
    <w:rsid w:val="00AA158E"/>
    <w:rsid w:val="00AA15A0"/>
    <w:rsid w:val="00AA24FD"/>
    <w:rsid w:val="00AA35B1"/>
    <w:rsid w:val="00AA3E40"/>
    <w:rsid w:val="00AA518B"/>
    <w:rsid w:val="00AA586E"/>
    <w:rsid w:val="00AA5B92"/>
    <w:rsid w:val="00AA5CF3"/>
    <w:rsid w:val="00AA6581"/>
    <w:rsid w:val="00AA6F20"/>
    <w:rsid w:val="00AB140C"/>
    <w:rsid w:val="00AB15D7"/>
    <w:rsid w:val="00AB1974"/>
    <w:rsid w:val="00AB2A79"/>
    <w:rsid w:val="00AB3D9A"/>
    <w:rsid w:val="00AB4979"/>
    <w:rsid w:val="00AB50D4"/>
    <w:rsid w:val="00AB5886"/>
    <w:rsid w:val="00AB6315"/>
    <w:rsid w:val="00AB7C31"/>
    <w:rsid w:val="00AB7D6C"/>
    <w:rsid w:val="00AC065B"/>
    <w:rsid w:val="00AC07FB"/>
    <w:rsid w:val="00AC1D75"/>
    <w:rsid w:val="00AC4946"/>
    <w:rsid w:val="00AC5C77"/>
    <w:rsid w:val="00AC625D"/>
    <w:rsid w:val="00AD030F"/>
    <w:rsid w:val="00AD1349"/>
    <w:rsid w:val="00AD18FA"/>
    <w:rsid w:val="00AD22A8"/>
    <w:rsid w:val="00AD3EF2"/>
    <w:rsid w:val="00AD41F1"/>
    <w:rsid w:val="00AD5E2D"/>
    <w:rsid w:val="00AD7235"/>
    <w:rsid w:val="00AE0288"/>
    <w:rsid w:val="00AE1FBB"/>
    <w:rsid w:val="00AE23B5"/>
    <w:rsid w:val="00AE2806"/>
    <w:rsid w:val="00AE4CB5"/>
    <w:rsid w:val="00AE5291"/>
    <w:rsid w:val="00AE587B"/>
    <w:rsid w:val="00AE6705"/>
    <w:rsid w:val="00AE6F37"/>
    <w:rsid w:val="00AE794C"/>
    <w:rsid w:val="00AF016E"/>
    <w:rsid w:val="00AF0416"/>
    <w:rsid w:val="00AF05E8"/>
    <w:rsid w:val="00AF0FD6"/>
    <w:rsid w:val="00AF1459"/>
    <w:rsid w:val="00AF14C8"/>
    <w:rsid w:val="00AF2CFF"/>
    <w:rsid w:val="00AF3FBF"/>
    <w:rsid w:val="00AF5B80"/>
    <w:rsid w:val="00AF5BE1"/>
    <w:rsid w:val="00AF691B"/>
    <w:rsid w:val="00AF6CEB"/>
    <w:rsid w:val="00B00E1F"/>
    <w:rsid w:val="00B01F11"/>
    <w:rsid w:val="00B023C6"/>
    <w:rsid w:val="00B02940"/>
    <w:rsid w:val="00B03A62"/>
    <w:rsid w:val="00B03CE4"/>
    <w:rsid w:val="00B040E3"/>
    <w:rsid w:val="00B04964"/>
    <w:rsid w:val="00B12570"/>
    <w:rsid w:val="00B12C63"/>
    <w:rsid w:val="00B143D2"/>
    <w:rsid w:val="00B15CD8"/>
    <w:rsid w:val="00B1777F"/>
    <w:rsid w:val="00B20344"/>
    <w:rsid w:val="00B2221B"/>
    <w:rsid w:val="00B228E5"/>
    <w:rsid w:val="00B22913"/>
    <w:rsid w:val="00B23074"/>
    <w:rsid w:val="00B24B19"/>
    <w:rsid w:val="00B2606C"/>
    <w:rsid w:val="00B26A3B"/>
    <w:rsid w:val="00B26AC2"/>
    <w:rsid w:val="00B26F9B"/>
    <w:rsid w:val="00B30ECA"/>
    <w:rsid w:val="00B31636"/>
    <w:rsid w:val="00B323A1"/>
    <w:rsid w:val="00B32972"/>
    <w:rsid w:val="00B33EB1"/>
    <w:rsid w:val="00B344D7"/>
    <w:rsid w:val="00B34A73"/>
    <w:rsid w:val="00B3548E"/>
    <w:rsid w:val="00B35DDC"/>
    <w:rsid w:val="00B37876"/>
    <w:rsid w:val="00B4002D"/>
    <w:rsid w:val="00B40EFC"/>
    <w:rsid w:val="00B4297D"/>
    <w:rsid w:val="00B432F3"/>
    <w:rsid w:val="00B436BD"/>
    <w:rsid w:val="00B43862"/>
    <w:rsid w:val="00B4499B"/>
    <w:rsid w:val="00B44B26"/>
    <w:rsid w:val="00B45581"/>
    <w:rsid w:val="00B45ED7"/>
    <w:rsid w:val="00B524CD"/>
    <w:rsid w:val="00B526D0"/>
    <w:rsid w:val="00B545AA"/>
    <w:rsid w:val="00B54631"/>
    <w:rsid w:val="00B547A5"/>
    <w:rsid w:val="00B54E07"/>
    <w:rsid w:val="00B5598C"/>
    <w:rsid w:val="00B57B9E"/>
    <w:rsid w:val="00B62C40"/>
    <w:rsid w:val="00B62DD8"/>
    <w:rsid w:val="00B6341C"/>
    <w:rsid w:val="00B63B41"/>
    <w:rsid w:val="00B63E01"/>
    <w:rsid w:val="00B65020"/>
    <w:rsid w:val="00B65710"/>
    <w:rsid w:val="00B65A57"/>
    <w:rsid w:val="00B65B45"/>
    <w:rsid w:val="00B701C0"/>
    <w:rsid w:val="00B70462"/>
    <w:rsid w:val="00B70CB8"/>
    <w:rsid w:val="00B723A5"/>
    <w:rsid w:val="00B7523F"/>
    <w:rsid w:val="00B755DC"/>
    <w:rsid w:val="00B75AA5"/>
    <w:rsid w:val="00B75C35"/>
    <w:rsid w:val="00B75DC4"/>
    <w:rsid w:val="00B75E35"/>
    <w:rsid w:val="00B761DC"/>
    <w:rsid w:val="00B765DF"/>
    <w:rsid w:val="00B7738B"/>
    <w:rsid w:val="00B80B70"/>
    <w:rsid w:val="00B818CD"/>
    <w:rsid w:val="00B81A1C"/>
    <w:rsid w:val="00B84A18"/>
    <w:rsid w:val="00B84E81"/>
    <w:rsid w:val="00B91D7E"/>
    <w:rsid w:val="00B928F7"/>
    <w:rsid w:val="00B947CA"/>
    <w:rsid w:val="00B95929"/>
    <w:rsid w:val="00B95AAB"/>
    <w:rsid w:val="00B95BD9"/>
    <w:rsid w:val="00B95DB4"/>
    <w:rsid w:val="00B96990"/>
    <w:rsid w:val="00BA0A2F"/>
    <w:rsid w:val="00BA1C6D"/>
    <w:rsid w:val="00BA21AC"/>
    <w:rsid w:val="00BA2D2F"/>
    <w:rsid w:val="00BA35FE"/>
    <w:rsid w:val="00BA3A1D"/>
    <w:rsid w:val="00BA3FB4"/>
    <w:rsid w:val="00BA4201"/>
    <w:rsid w:val="00BA4536"/>
    <w:rsid w:val="00BA4644"/>
    <w:rsid w:val="00BA52CA"/>
    <w:rsid w:val="00BA5403"/>
    <w:rsid w:val="00BA58F7"/>
    <w:rsid w:val="00BA5B25"/>
    <w:rsid w:val="00BA5D3E"/>
    <w:rsid w:val="00BA78A6"/>
    <w:rsid w:val="00BB361E"/>
    <w:rsid w:val="00BB36C0"/>
    <w:rsid w:val="00BB3C56"/>
    <w:rsid w:val="00BB5832"/>
    <w:rsid w:val="00BB7262"/>
    <w:rsid w:val="00BC01BC"/>
    <w:rsid w:val="00BC12F4"/>
    <w:rsid w:val="00BC33C6"/>
    <w:rsid w:val="00BC3EE7"/>
    <w:rsid w:val="00BC4479"/>
    <w:rsid w:val="00BC4B7B"/>
    <w:rsid w:val="00BC4C3A"/>
    <w:rsid w:val="00BC5E03"/>
    <w:rsid w:val="00BC6607"/>
    <w:rsid w:val="00BC66B5"/>
    <w:rsid w:val="00BC694F"/>
    <w:rsid w:val="00BC6E85"/>
    <w:rsid w:val="00BC74A6"/>
    <w:rsid w:val="00BC7D83"/>
    <w:rsid w:val="00BD07C4"/>
    <w:rsid w:val="00BD10F2"/>
    <w:rsid w:val="00BD1835"/>
    <w:rsid w:val="00BD319E"/>
    <w:rsid w:val="00BD4378"/>
    <w:rsid w:val="00BD45E5"/>
    <w:rsid w:val="00BD490E"/>
    <w:rsid w:val="00BD5C50"/>
    <w:rsid w:val="00BD66A8"/>
    <w:rsid w:val="00BE2319"/>
    <w:rsid w:val="00BE2F86"/>
    <w:rsid w:val="00BE66D8"/>
    <w:rsid w:val="00BE69BB"/>
    <w:rsid w:val="00BE6D8F"/>
    <w:rsid w:val="00BE771B"/>
    <w:rsid w:val="00BF1426"/>
    <w:rsid w:val="00BF189C"/>
    <w:rsid w:val="00BF19C3"/>
    <w:rsid w:val="00BF19E8"/>
    <w:rsid w:val="00BF537C"/>
    <w:rsid w:val="00BF769C"/>
    <w:rsid w:val="00C0031A"/>
    <w:rsid w:val="00C0395E"/>
    <w:rsid w:val="00C03E75"/>
    <w:rsid w:val="00C046E0"/>
    <w:rsid w:val="00C04D42"/>
    <w:rsid w:val="00C050DC"/>
    <w:rsid w:val="00C05B33"/>
    <w:rsid w:val="00C07133"/>
    <w:rsid w:val="00C10232"/>
    <w:rsid w:val="00C131C0"/>
    <w:rsid w:val="00C13FA9"/>
    <w:rsid w:val="00C17813"/>
    <w:rsid w:val="00C21097"/>
    <w:rsid w:val="00C21BFF"/>
    <w:rsid w:val="00C229ED"/>
    <w:rsid w:val="00C22ABB"/>
    <w:rsid w:val="00C22B11"/>
    <w:rsid w:val="00C233F1"/>
    <w:rsid w:val="00C24B91"/>
    <w:rsid w:val="00C254EC"/>
    <w:rsid w:val="00C30D04"/>
    <w:rsid w:val="00C30E37"/>
    <w:rsid w:val="00C310CA"/>
    <w:rsid w:val="00C32719"/>
    <w:rsid w:val="00C33B19"/>
    <w:rsid w:val="00C344E4"/>
    <w:rsid w:val="00C34C6F"/>
    <w:rsid w:val="00C35196"/>
    <w:rsid w:val="00C35714"/>
    <w:rsid w:val="00C373A8"/>
    <w:rsid w:val="00C40035"/>
    <w:rsid w:val="00C40C41"/>
    <w:rsid w:val="00C418BF"/>
    <w:rsid w:val="00C420C7"/>
    <w:rsid w:val="00C43EE4"/>
    <w:rsid w:val="00C44428"/>
    <w:rsid w:val="00C446FD"/>
    <w:rsid w:val="00C44E94"/>
    <w:rsid w:val="00C46266"/>
    <w:rsid w:val="00C50AAE"/>
    <w:rsid w:val="00C50F3A"/>
    <w:rsid w:val="00C50FB6"/>
    <w:rsid w:val="00C51B04"/>
    <w:rsid w:val="00C53341"/>
    <w:rsid w:val="00C540A2"/>
    <w:rsid w:val="00C543B1"/>
    <w:rsid w:val="00C55208"/>
    <w:rsid w:val="00C552A3"/>
    <w:rsid w:val="00C55492"/>
    <w:rsid w:val="00C55BEB"/>
    <w:rsid w:val="00C561AE"/>
    <w:rsid w:val="00C56859"/>
    <w:rsid w:val="00C57168"/>
    <w:rsid w:val="00C60798"/>
    <w:rsid w:val="00C60F0A"/>
    <w:rsid w:val="00C63890"/>
    <w:rsid w:val="00C647DB"/>
    <w:rsid w:val="00C64CCF"/>
    <w:rsid w:val="00C65015"/>
    <w:rsid w:val="00C67633"/>
    <w:rsid w:val="00C67750"/>
    <w:rsid w:val="00C70A76"/>
    <w:rsid w:val="00C72260"/>
    <w:rsid w:val="00C749DF"/>
    <w:rsid w:val="00C75390"/>
    <w:rsid w:val="00C808A7"/>
    <w:rsid w:val="00C81EDE"/>
    <w:rsid w:val="00C81F3B"/>
    <w:rsid w:val="00C8311F"/>
    <w:rsid w:val="00C8336E"/>
    <w:rsid w:val="00C84065"/>
    <w:rsid w:val="00C84105"/>
    <w:rsid w:val="00C8415C"/>
    <w:rsid w:val="00C84E20"/>
    <w:rsid w:val="00C851E3"/>
    <w:rsid w:val="00C85A2E"/>
    <w:rsid w:val="00C86CDE"/>
    <w:rsid w:val="00C86E42"/>
    <w:rsid w:val="00C9188C"/>
    <w:rsid w:val="00C92479"/>
    <w:rsid w:val="00C92E28"/>
    <w:rsid w:val="00C93345"/>
    <w:rsid w:val="00C947A6"/>
    <w:rsid w:val="00C949CF"/>
    <w:rsid w:val="00C94CC3"/>
    <w:rsid w:val="00C955B6"/>
    <w:rsid w:val="00C96B5F"/>
    <w:rsid w:val="00C96D57"/>
    <w:rsid w:val="00C97016"/>
    <w:rsid w:val="00C97384"/>
    <w:rsid w:val="00C97773"/>
    <w:rsid w:val="00CA1298"/>
    <w:rsid w:val="00CA19DB"/>
    <w:rsid w:val="00CA45A1"/>
    <w:rsid w:val="00CA47DC"/>
    <w:rsid w:val="00CA4E9E"/>
    <w:rsid w:val="00CA55DB"/>
    <w:rsid w:val="00CA6058"/>
    <w:rsid w:val="00CA6ADC"/>
    <w:rsid w:val="00CA7312"/>
    <w:rsid w:val="00CA7412"/>
    <w:rsid w:val="00CA7A5F"/>
    <w:rsid w:val="00CB15AB"/>
    <w:rsid w:val="00CB1D68"/>
    <w:rsid w:val="00CB1DD5"/>
    <w:rsid w:val="00CB27B9"/>
    <w:rsid w:val="00CB2C65"/>
    <w:rsid w:val="00CB2D0F"/>
    <w:rsid w:val="00CB43FC"/>
    <w:rsid w:val="00CB449F"/>
    <w:rsid w:val="00CB46A2"/>
    <w:rsid w:val="00CB4BD9"/>
    <w:rsid w:val="00CB553B"/>
    <w:rsid w:val="00CB6473"/>
    <w:rsid w:val="00CB6628"/>
    <w:rsid w:val="00CB7B1C"/>
    <w:rsid w:val="00CC0769"/>
    <w:rsid w:val="00CC2765"/>
    <w:rsid w:val="00CC2A2F"/>
    <w:rsid w:val="00CC37D8"/>
    <w:rsid w:val="00CC444F"/>
    <w:rsid w:val="00CC4F42"/>
    <w:rsid w:val="00CC5CBE"/>
    <w:rsid w:val="00CD0503"/>
    <w:rsid w:val="00CD1707"/>
    <w:rsid w:val="00CD1C3A"/>
    <w:rsid w:val="00CD4BF6"/>
    <w:rsid w:val="00CD69DD"/>
    <w:rsid w:val="00CE1A88"/>
    <w:rsid w:val="00CE1D8F"/>
    <w:rsid w:val="00CE2560"/>
    <w:rsid w:val="00CE54A3"/>
    <w:rsid w:val="00CE5DA6"/>
    <w:rsid w:val="00CE619E"/>
    <w:rsid w:val="00CE7DF2"/>
    <w:rsid w:val="00CF1567"/>
    <w:rsid w:val="00CF2740"/>
    <w:rsid w:val="00CF274E"/>
    <w:rsid w:val="00CF2C4D"/>
    <w:rsid w:val="00CF38A8"/>
    <w:rsid w:val="00CF427E"/>
    <w:rsid w:val="00CF4A5D"/>
    <w:rsid w:val="00CF4DDB"/>
    <w:rsid w:val="00CF69C4"/>
    <w:rsid w:val="00CF6F11"/>
    <w:rsid w:val="00D00098"/>
    <w:rsid w:val="00D015F7"/>
    <w:rsid w:val="00D0203D"/>
    <w:rsid w:val="00D045A2"/>
    <w:rsid w:val="00D06651"/>
    <w:rsid w:val="00D078E3"/>
    <w:rsid w:val="00D11B10"/>
    <w:rsid w:val="00D11C8D"/>
    <w:rsid w:val="00D13EC4"/>
    <w:rsid w:val="00D14DCC"/>
    <w:rsid w:val="00D161E5"/>
    <w:rsid w:val="00D17025"/>
    <w:rsid w:val="00D17E16"/>
    <w:rsid w:val="00D17EA1"/>
    <w:rsid w:val="00D20E96"/>
    <w:rsid w:val="00D21348"/>
    <w:rsid w:val="00D22063"/>
    <w:rsid w:val="00D234F7"/>
    <w:rsid w:val="00D23F66"/>
    <w:rsid w:val="00D2466C"/>
    <w:rsid w:val="00D256F6"/>
    <w:rsid w:val="00D25A1B"/>
    <w:rsid w:val="00D275E4"/>
    <w:rsid w:val="00D30AD0"/>
    <w:rsid w:val="00D31329"/>
    <w:rsid w:val="00D327B9"/>
    <w:rsid w:val="00D33560"/>
    <w:rsid w:val="00D343E0"/>
    <w:rsid w:val="00D34609"/>
    <w:rsid w:val="00D346B2"/>
    <w:rsid w:val="00D34AE1"/>
    <w:rsid w:val="00D34F78"/>
    <w:rsid w:val="00D358A8"/>
    <w:rsid w:val="00D359F6"/>
    <w:rsid w:val="00D36667"/>
    <w:rsid w:val="00D36738"/>
    <w:rsid w:val="00D368D1"/>
    <w:rsid w:val="00D36E01"/>
    <w:rsid w:val="00D373A8"/>
    <w:rsid w:val="00D37E4F"/>
    <w:rsid w:val="00D4090F"/>
    <w:rsid w:val="00D4284B"/>
    <w:rsid w:val="00D42ADC"/>
    <w:rsid w:val="00D44F4C"/>
    <w:rsid w:val="00D44FCA"/>
    <w:rsid w:val="00D45041"/>
    <w:rsid w:val="00D45BE6"/>
    <w:rsid w:val="00D45DD2"/>
    <w:rsid w:val="00D46479"/>
    <w:rsid w:val="00D50A2A"/>
    <w:rsid w:val="00D52C25"/>
    <w:rsid w:val="00D53D68"/>
    <w:rsid w:val="00D5521F"/>
    <w:rsid w:val="00D55F3A"/>
    <w:rsid w:val="00D57692"/>
    <w:rsid w:val="00D57B08"/>
    <w:rsid w:val="00D60307"/>
    <w:rsid w:val="00D604E6"/>
    <w:rsid w:val="00D61919"/>
    <w:rsid w:val="00D64735"/>
    <w:rsid w:val="00D64EB8"/>
    <w:rsid w:val="00D6504C"/>
    <w:rsid w:val="00D66F38"/>
    <w:rsid w:val="00D67E57"/>
    <w:rsid w:val="00D71B71"/>
    <w:rsid w:val="00D73985"/>
    <w:rsid w:val="00D756D6"/>
    <w:rsid w:val="00D76036"/>
    <w:rsid w:val="00D76988"/>
    <w:rsid w:val="00D76F9F"/>
    <w:rsid w:val="00D81086"/>
    <w:rsid w:val="00D810BC"/>
    <w:rsid w:val="00D813B7"/>
    <w:rsid w:val="00D842BC"/>
    <w:rsid w:val="00D861C5"/>
    <w:rsid w:val="00D869E7"/>
    <w:rsid w:val="00D86C94"/>
    <w:rsid w:val="00D870E5"/>
    <w:rsid w:val="00D87EB9"/>
    <w:rsid w:val="00D87FA0"/>
    <w:rsid w:val="00D900C4"/>
    <w:rsid w:val="00D92036"/>
    <w:rsid w:val="00D9290E"/>
    <w:rsid w:val="00D93137"/>
    <w:rsid w:val="00D948B3"/>
    <w:rsid w:val="00D95075"/>
    <w:rsid w:val="00D953F6"/>
    <w:rsid w:val="00D95BF5"/>
    <w:rsid w:val="00D97923"/>
    <w:rsid w:val="00D97D07"/>
    <w:rsid w:val="00DA012A"/>
    <w:rsid w:val="00DA043F"/>
    <w:rsid w:val="00DA0D4C"/>
    <w:rsid w:val="00DA1DD9"/>
    <w:rsid w:val="00DA2618"/>
    <w:rsid w:val="00DA26E5"/>
    <w:rsid w:val="00DA304D"/>
    <w:rsid w:val="00DA34E3"/>
    <w:rsid w:val="00DA4AE4"/>
    <w:rsid w:val="00DB08ED"/>
    <w:rsid w:val="00DB0941"/>
    <w:rsid w:val="00DB2969"/>
    <w:rsid w:val="00DB3B5B"/>
    <w:rsid w:val="00DB594A"/>
    <w:rsid w:val="00DB63A0"/>
    <w:rsid w:val="00DB6886"/>
    <w:rsid w:val="00DB7429"/>
    <w:rsid w:val="00DC041D"/>
    <w:rsid w:val="00DC0A36"/>
    <w:rsid w:val="00DC0DC3"/>
    <w:rsid w:val="00DC11DA"/>
    <w:rsid w:val="00DC1FAC"/>
    <w:rsid w:val="00DC3982"/>
    <w:rsid w:val="00DC43CA"/>
    <w:rsid w:val="00DC473D"/>
    <w:rsid w:val="00DC5908"/>
    <w:rsid w:val="00DC5D83"/>
    <w:rsid w:val="00DC6161"/>
    <w:rsid w:val="00DC6216"/>
    <w:rsid w:val="00DC6459"/>
    <w:rsid w:val="00DC6533"/>
    <w:rsid w:val="00DC6A1F"/>
    <w:rsid w:val="00DC7417"/>
    <w:rsid w:val="00DD19B6"/>
    <w:rsid w:val="00DD1DD8"/>
    <w:rsid w:val="00DD2F59"/>
    <w:rsid w:val="00DD352C"/>
    <w:rsid w:val="00DD5C8E"/>
    <w:rsid w:val="00DD6569"/>
    <w:rsid w:val="00DD6A1F"/>
    <w:rsid w:val="00DD6BB3"/>
    <w:rsid w:val="00DD6ED0"/>
    <w:rsid w:val="00DD6FA1"/>
    <w:rsid w:val="00DE03C5"/>
    <w:rsid w:val="00DE0BE4"/>
    <w:rsid w:val="00DE139E"/>
    <w:rsid w:val="00DE3185"/>
    <w:rsid w:val="00DE3BD2"/>
    <w:rsid w:val="00DE4679"/>
    <w:rsid w:val="00DE6642"/>
    <w:rsid w:val="00DE6DC4"/>
    <w:rsid w:val="00DE7BD4"/>
    <w:rsid w:val="00DE7EBC"/>
    <w:rsid w:val="00DF1373"/>
    <w:rsid w:val="00DF1793"/>
    <w:rsid w:val="00DF3496"/>
    <w:rsid w:val="00DF35A7"/>
    <w:rsid w:val="00DF4FF4"/>
    <w:rsid w:val="00DF6B5B"/>
    <w:rsid w:val="00DF6CA3"/>
    <w:rsid w:val="00E0095B"/>
    <w:rsid w:val="00E010D1"/>
    <w:rsid w:val="00E013A7"/>
    <w:rsid w:val="00E01A8C"/>
    <w:rsid w:val="00E01EBE"/>
    <w:rsid w:val="00E023B7"/>
    <w:rsid w:val="00E02C83"/>
    <w:rsid w:val="00E03641"/>
    <w:rsid w:val="00E04F67"/>
    <w:rsid w:val="00E05077"/>
    <w:rsid w:val="00E058E9"/>
    <w:rsid w:val="00E073BA"/>
    <w:rsid w:val="00E07536"/>
    <w:rsid w:val="00E10A98"/>
    <w:rsid w:val="00E12457"/>
    <w:rsid w:val="00E12EA7"/>
    <w:rsid w:val="00E1407C"/>
    <w:rsid w:val="00E1478C"/>
    <w:rsid w:val="00E158C4"/>
    <w:rsid w:val="00E15D70"/>
    <w:rsid w:val="00E16CC8"/>
    <w:rsid w:val="00E16E77"/>
    <w:rsid w:val="00E17396"/>
    <w:rsid w:val="00E203D1"/>
    <w:rsid w:val="00E2072F"/>
    <w:rsid w:val="00E20D5D"/>
    <w:rsid w:val="00E21EAF"/>
    <w:rsid w:val="00E23DCB"/>
    <w:rsid w:val="00E2439E"/>
    <w:rsid w:val="00E246A0"/>
    <w:rsid w:val="00E24945"/>
    <w:rsid w:val="00E24B50"/>
    <w:rsid w:val="00E2540C"/>
    <w:rsid w:val="00E260A8"/>
    <w:rsid w:val="00E27066"/>
    <w:rsid w:val="00E272D4"/>
    <w:rsid w:val="00E307CE"/>
    <w:rsid w:val="00E321D9"/>
    <w:rsid w:val="00E326E7"/>
    <w:rsid w:val="00E3360D"/>
    <w:rsid w:val="00E34EF9"/>
    <w:rsid w:val="00E3544C"/>
    <w:rsid w:val="00E363A9"/>
    <w:rsid w:val="00E36DCC"/>
    <w:rsid w:val="00E378ED"/>
    <w:rsid w:val="00E379E4"/>
    <w:rsid w:val="00E40335"/>
    <w:rsid w:val="00E41FDB"/>
    <w:rsid w:val="00E4279A"/>
    <w:rsid w:val="00E44161"/>
    <w:rsid w:val="00E4565C"/>
    <w:rsid w:val="00E459D4"/>
    <w:rsid w:val="00E464FD"/>
    <w:rsid w:val="00E4710B"/>
    <w:rsid w:val="00E50253"/>
    <w:rsid w:val="00E50AE8"/>
    <w:rsid w:val="00E51F52"/>
    <w:rsid w:val="00E52C43"/>
    <w:rsid w:val="00E53B54"/>
    <w:rsid w:val="00E55102"/>
    <w:rsid w:val="00E553F5"/>
    <w:rsid w:val="00E5649E"/>
    <w:rsid w:val="00E607BC"/>
    <w:rsid w:val="00E62310"/>
    <w:rsid w:val="00E64738"/>
    <w:rsid w:val="00E65265"/>
    <w:rsid w:val="00E6665E"/>
    <w:rsid w:val="00E675E0"/>
    <w:rsid w:val="00E70D17"/>
    <w:rsid w:val="00E7127B"/>
    <w:rsid w:val="00E71ACF"/>
    <w:rsid w:val="00E71E3C"/>
    <w:rsid w:val="00E7269B"/>
    <w:rsid w:val="00E75094"/>
    <w:rsid w:val="00E7544B"/>
    <w:rsid w:val="00E75EC1"/>
    <w:rsid w:val="00E769B4"/>
    <w:rsid w:val="00E772C2"/>
    <w:rsid w:val="00E778A2"/>
    <w:rsid w:val="00E803B3"/>
    <w:rsid w:val="00E80CEF"/>
    <w:rsid w:val="00E80EFA"/>
    <w:rsid w:val="00E81D9B"/>
    <w:rsid w:val="00E82360"/>
    <w:rsid w:val="00E825F4"/>
    <w:rsid w:val="00E82ADD"/>
    <w:rsid w:val="00E8301E"/>
    <w:rsid w:val="00E84835"/>
    <w:rsid w:val="00E84AD8"/>
    <w:rsid w:val="00E9005E"/>
    <w:rsid w:val="00E90355"/>
    <w:rsid w:val="00E90DFC"/>
    <w:rsid w:val="00E910C7"/>
    <w:rsid w:val="00E92FDA"/>
    <w:rsid w:val="00E932F8"/>
    <w:rsid w:val="00E93330"/>
    <w:rsid w:val="00E94219"/>
    <w:rsid w:val="00E94FE5"/>
    <w:rsid w:val="00E95F9B"/>
    <w:rsid w:val="00E96665"/>
    <w:rsid w:val="00E969D8"/>
    <w:rsid w:val="00E96AD0"/>
    <w:rsid w:val="00E97067"/>
    <w:rsid w:val="00EA07FF"/>
    <w:rsid w:val="00EA2D50"/>
    <w:rsid w:val="00EA5542"/>
    <w:rsid w:val="00EA7BC4"/>
    <w:rsid w:val="00EA7FD6"/>
    <w:rsid w:val="00EB15CA"/>
    <w:rsid w:val="00EB1A09"/>
    <w:rsid w:val="00EB2760"/>
    <w:rsid w:val="00EB2AF5"/>
    <w:rsid w:val="00EB42B3"/>
    <w:rsid w:val="00EB439D"/>
    <w:rsid w:val="00EB4B48"/>
    <w:rsid w:val="00EB4C0F"/>
    <w:rsid w:val="00EB5DE9"/>
    <w:rsid w:val="00EB5F58"/>
    <w:rsid w:val="00EB7C97"/>
    <w:rsid w:val="00EC0C50"/>
    <w:rsid w:val="00EC0D42"/>
    <w:rsid w:val="00EC1762"/>
    <w:rsid w:val="00EC47CF"/>
    <w:rsid w:val="00EC57B5"/>
    <w:rsid w:val="00EC5DE3"/>
    <w:rsid w:val="00EC6F91"/>
    <w:rsid w:val="00EC7C80"/>
    <w:rsid w:val="00ED2184"/>
    <w:rsid w:val="00ED2768"/>
    <w:rsid w:val="00ED48D4"/>
    <w:rsid w:val="00ED5689"/>
    <w:rsid w:val="00ED5C0D"/>
    <w:rsid w:val="00ED6CE2"/>
    <w:rsid w:val="00EE0E90"/>
    <w:rsid w:val="00EE1131"/>
    <w:rsid w:val="00EE1298"/>
    <w:rsid w:val="00EE188E"/>
    <w:rsid w:val="00EE2EB4"/>
    <w:rsid w:val="00EE3380"/>
    <w:rsid w:val="00EE3509"/>
    <w:rsid w:val="00EE364E"/>
    <w:rsid w:val="00EE3E77"/>
    <w:rsid w:val="00EE4F1B"/>
    <w:rsid w:val="00EE67FD"/>
    <w:rsid w:val="00EF0012"/>
    <w:rsid w:val="00EF1974"/>
    <w:rsid w:val="00EF2AEF"/>
    <w:rsid w:val="00EF3BF1"/>
    <w:rsid w:val="00EF48BA"/>
    <w:rsid w:val="00EF51D6"/>
    <w:rsid w:val="00EF68CF"/>
    <w:rsid w:val="00F00613"/>
    <w:rsid w:val="00F009B6"/>
    <w:rsid w:val="00F02512"/>
    <w:rsid w:val="00F02B89"/>
    <w:rsid w:val="00F031FC"/>
    <w:rsid w:val="00F034DF"/>
    <w:rsid w:val="00F03D5A"/>
    <w:rsid w:val="00F054FA"/>
    <w:rsid w:val="00F0645D"/>
    <w:rsid w:val="00F06B64"/>
    <w:rsid w:val="00F1041C"/>
    <w:rsid w:val="00F10666"/>
    <w:rsid w:val="00F1188B"/>
    <w:rsid w:val="00F11912"/>
    <w:rsid w:val="00F12104"/>
    <w:rsid w:val="00F133A3"/>
    <w:rsid w:val="00F13723"/>
    <w:rsid w:val="00F1446F"/>
    <w:rsid w:val="00F144EF"/>
    <w:rsid w:val="00F14A1E"/>
    <w:rsid w:val="00F15C56"/>
    <w:rsid w:val="00F16837"/>
    <w:rsid w:val="00F173BA"/>
    <w:rsid w:val="00F177F7"/>
    <w:rsid w:val="00F20FC7"/>
    <w:rsid w:val="00F221A5"/>
    <w:rsid w:val="00F238BD"/>
    <w:rsid w:val="00F245F3"/>
    <w:rsid w:val="00F24F86"/>
    <w:rsid w:val="00F268E5"/>
    <w:rsid w:val="00F2726D"/>
    <w:rsid w:val="00F27BCA"/>
    <w:rsid w:val="00F27E54"/>
    <w:rsid w:val="00F3136C"/>
    <w:rsid w:val="00F31814"/>
    <w:rsid w:val="00F35958"/>
    <w:rsid w:val="00F35F38"/>
    <w:rsid w:val="00F376A9"/>
    <w:rsid w:val="00F378DD"/>
    <w:rsid w:val="00F37DDE"/>
    <w:rsid w:val="00F41A17"/>
    <w:rsid w:val="00F43E08"/>
    <w:rsid w:val="00F44A6C"/>
    <w:rsid w:val="00F44DD4"/>
    <w:rsid w:val="00F45ED3"/>
    <w:rsid w:val="00F46879"/>
    <w:rsid w:val="00F47840"/>
    <w:rsid w:val="00F50EE1"/>
    <w:rsid w:val="00F51030"/>
    <w:rsid w:val="00F519DC"/>
    <w:rsid w:val="00F5433C"/>
    <w:rsid w:val="00F54653"/>
    <w:rsid w:val="00F547A9"/>
    <w:rsid w:val="00F559C5"/>
    <w:rsid w:val="00F5658E"/>
    <w:rsid w:val="00F5707E"/>
    <w:rsid w:val="00F5709A"/>
    <w:rsid w:val="00F57C1B"/>
    <w:rsid w:val="00F60C85"/>
    <w:rsid w:val="00F63FFA"/>
    <w:rsid w:val="00F646AF"/>
    <w:rsid w:val="00F654A9"/>
    <w:rsid w:val="00F656BF"/>
    <w:rsid w:val="00F679CE"/>
    <w:rsid w:val="00F67A2B"/>
    <w:rsid w:val="00F711E1"/>
    <w:rsid w:val="00F71260"/>
    <w:rsid w:val="00F71574"/>
    <w:rsid w:val="00F71F0A"/>
    <w:rsid w:val="00F742DD"/>
    <w:rsid w:val="00F7553B"/>
    <w:rsid w:val="00F75700"/>
    <w:rsid w:val="00F75C84"/>
    <w:rsid w:val="00F7617F"/>
    <w:rsid w:val="00F778AF"/>
    <w:rsid w:val="00F81FD0"/>
    <w:rsid w:val="00F87206"/>
    <w:rsid w:val="00F87D93"/>
    <w:rsid w:val="00F90D83"/>
    <w:rsid w:val="00F91857"/>
    <w:rsid w:val="00F919B3"/>
    <w:rsid w:val="00F9332F"/>
    <w:rsid w:val="00F938C1"/>
    <w:rsid w:val="00F951CB"/>
    <w:rsid w:val="00F953B6"/>
    <w:rsid w:val="00F9653C"/>
    <w:rsid w:val="00F97407"/>
    <w:rsid w:val="00FA15A5"/>
    <w:rsid w:val="00FA1C3F"/>
    <w:rsid w:val="00FA2B29"/>
    <w:rsid w:val="00FA2BB9"/>
    <w:rsid w:val="00FA4C0A"/>
    <w:rsid w:val="00FA61A5"/>
    <w:rsid w:val="00FA69D6"/>
    <w:rsid w:val="00FB23DC"/>
    <w:rsid w:val="00FB2471"/>
    <w:rsid w:val="00FB299F"/>
    <w:rsid w:val="00FB74A0"/>
    <w:rsid w:val="00FC008F"/>
    <w:rsid w:val="00FC12BE"/>
    <w:rsid w:val="00FC196C"/>
    <w:rsid w:val="00FC3118"/>
    <w:rsid w:val="00FC3F5E"/>
    <w:rsid w:val="00FC4506"/>
    <w:rsid w:val="00FC5AAF"/>
    <w:rsid w:val="00FC6E4A"/>
    <w:rsid w:val="00FD04E1"/>
    <w:rsid w:val="00FD0D56"/>
    <w:rsid w:val="00FD38B5"/>
    <w:rsid w:val="00FD5641"/>
    <w:rsid w:val="00FD6926"/>
    <w:rsid w:val="00FE05C1"/>
    <w:rsid w:val="00FE0ABA"/>
    <w:rsid w:val="00FE0C68"/>
    <w:rsid w:val="00FE2E73"/>
    <w:rsid w:val="00FE4D22"/>
    <w:rsid w:val="00FE58B5"/>
    <w:rsid w:val="00FE5FAB"/>
    <w:rsid w:val="00FE7803"/>
    <w:rsid w:val="00FF0773"/>
    <w:rsid w:val="00FF0BB6"/>
    <w:rsid w:val="00FF443C"/>
    <w:rsid w:val="00FF49DC"/>
    <w:rsid w:val="00FF4FE3"/>
    <w:rsid w:val="00FF5571"/>
    <w:rsid w:val="00FF5901"/>
    <w:rsid w:val="00FF630B"/>
    <w:rsid w:val="00FF700E"/>
    <w:rsid w:val="00FF7B33"/>
    <w:rsid w:val="00FF7F2E"/>
    <w:rsid w:val="026E2CA7"/>
    <w:rsid w:val="044E739D"/>
    <w:rsid w:val="047067AF"/>
    <w:rsid w:val="061B2A18"/>
    <w:rsid w:val="069B651C"/>
    <w:rsid w:val="096C2283"/>
    <w:rsid w:val="0AC30400"/>
    <w:rsid w:val="0B4D38F2"/>
    <w:rsid w:val="0CC51EAD"/>
    <w:rsid w:val="0CE473B7"/>
    <w:rsid w:val="0CFC5EFD"/>
    <w:rsid w:val="0E18588D"/>
    <w:rsid w:val="0E7F2A43"/>
    <w:rsid w:val="0E9A159F"/>
    <w:rsid w:val="1038421F"/>
    <w:rsid w:val="10402575"/>
    <w:rsid w:val="10CD30BC"/>
    <w:rsid w:val="11A53D4C"/>
    <w:rsid w:val="11AA096F"/>
    <w:rsid w:val="122C22BC"/>
    <w:rsid w:val="124F1899"/>
    <w:rsid w:val="1518152A"/>
    <w:rsid w:val="178D3078"/>
    <w:rsid w:val="17A93DE2"/>
    <w:rsid w:val="18723A77"/>
    <w:rsid w:val="1A2A0B61"/>
    <w:rsid w:val="1AC15A62"/>
    <w:rsid w:val="1B0D5F36"/>
    <w:rsid w:val="1B7B5639"/>
    <w:rsid w:val="1B9568D0"/>
    <w:rsid w:val="1C585B9D"/>
    <w:rsid w:val="1C702036"/>
    <w:rsid w:val="1CAD311C"/>
    <w:rsid w:val="1D9E43F6"/>
    <w:rsid w:val="1DB93D82"/>
    <w:rsid w:val="200A44A6"/>
    <w:rsid w:val="20360CA0"/>
    <w:rsid w:val="23222F5E"/>
    <w:rsid w:val="233D0598"/>
    <w:rsid w:val="242A66EC"/>
    <w:rsid w:val="25210ACD"/>
    <w:rsid w:val="25426776"/>
    <w:rsid w:val="25893F23"/>
    <w:rsid w:val="25FD40C8"/>
    <w:rsid w:val="262E022D"/>
    <w:rsid w:val="265A630E"/>
    <w:rsid w:val="273B6098"/>
    <w:rsid w:val="28AE59C9"/>
    <w:rsid w:val="2A27481D"/>
    <w:rsid w:val="2A2D76F6"/>
    <w:rsid w:val="2A6F688C"/>
    <w:rsid w:val="2C1555F0"/>
    <w:rsid w:val="2E0F1CE0"/>
    <w:rsid w:val="2EB9220B"/>
    <w:rsid w:val="2EFB0FA1"/>
    <w:rsid w:val="31900737"/>
    <w:rsid w:val="31EC6E12"/>
    <w:rsid w:val="328059D0"/>
    <w:rsid w:val="3358160F"/>
    <w:rsid w:val="351B52E8"/>
    <w:rsid w:val="35211E1A"/>
    <w:rsid w:val="358F2102"/>
    <w:rsid w:val="36246AB1"/>
    <w:rsid w:val="36635606"/>
    <w:rsid w:val="372009F9"/>
    <w:rsid w:val="37C63EFE"/>
    <w:rsid w:val="38276F30"/>
    <w:rsid w:val="38383F7A"/>
    <w:rsid w:val="38FB6C61"/>
    <w:rsid w:val="39ED1519"/>
    <w:rsid w:val="3A3E4064"/>
    <w:rsid w:val="3AF61C03"/>
    <w:rsid w:val="3B04616E"/>
    <w:rsid w:val="3B17576E"/>
    <w:rsid w:val="3B286954"/>
    <w:rsid w:val="3BBF5E04"/>
    <w:rsid w:val="3CFD1D13"/>
    <w:rsid w:val="3EDB294B"/>
    <w:rsid w:val="3FD863BD"/>
    <w:rsid w:val="41382251"/>
    <w:rsid w:val="41F606DD"/>
    <w:rsid w:val="42041720"/>
    <w:rsid w:val="43534D1B"/>
    <w:rsid w:val="43FC630A"/>
    <w:rsid w:val="460C7C2A"/>
    <w:rsid w:val="47072496"/>
    <w:rsid w:val="48197D55"/>
    <w:rsid w:val="48A228AB"/>
    <w:rsid w:val="48DE7A6B"/>
    <w:rsid w:val="491C63BB"/>
    <w:rsid w:val="4B557F0B"/>
    <w:rsid w:val="4BBC4273"/>
    <w:rsid w:val="4BBD33CE"/>
    <w:rsid w:val="4CB515E0"/>
    <w:rsid w:val="4D1C24A9"/>
    <w:rsid w:val="4D992C02"/>
    <w:rsid w:val="4E250D4C"/>
    <w:rsid w:val="4F017F89"/>
    <w:rsid w:val="4F3D2C6B"/>
    <w:rsid w:val="50135521"/>
    <w:rsid w:val="50234908"/>
    <w:rsid w:val="50242FD2"/>
    <w:rsid w:val="50A3639F"/>
    <w:rsid w:val="514E65F3"/>
    <w:rsid w:val="51A111DB"/>
    <w:rsid w:val="51AC4C8A"/>
    <w:rsid w:val="522B2E05"/>
    <w:rsid w:val="539511BF"/>
    <w:rsid w:val="552160AB"/>
    <w:rsid w:val="560B49D8"/>
    <w:rsid w:val="56341A89"/>
    <w:rsid w:val="583F1108"/>
    <w:rsid w:val="59993E4C"/>
    <w:rsid w:val="5B137BF9"/>
    <w:rsid w:val="5B8C4874"/>
    <w:rsid w:val="5C806BA7"/>
    <w:rsid w:val="5D3B0A6B"/>
    <w:rsid w:val="5EBE6AFE"/>
    <w:rsid w:val="603D0DB6"/>
    <w:rsid w:val="603F1DF4"/>
    <w:rsid w:val="60505F0F"/>
    <w:rsid w:val="61612BD9"/>
    <w:rsid w:val="61E92B09"/>
    <w:rsid w:val="62BA18DA"/>
    <w:rsid w:val="635E542A"/>
    <w:rsid w:val="648A602C"/>
    <w:rsid w:val="64EF68E4"/>
    <w:rsid w:val="657E55B3"/>
    <w:rsid w:val="65815EBE"/>
    <w:rsid w:val="659C78AA"/>
    <w:rsid w:val="65BA2AD4"/>
    <w:rsid w:val="65EE1849"/>
    <w:rsid w:val="664F14C0"/>
    <w:rsid w:val="67145733"/>
    <w:rsid w:val="672B7C3A"/>
    <w:rsid w:val="67713671"/>
    <w:rsid w:val="69694880"/>
    <w:rsid w:val="6A7E57C1"/>
    <w:rsid w:val="6BA529CA"/>
    <w:rsid w:val="6BC14694"/>
    <w:rsid w:val="6C355C98"/>
    <w:rsid w:val="6D155306"/>
    <w:rsid w:val="6D3526A9"/>
    <w:rsid w:val="6DA06BF6"/>
    <w:rsid w:val="6FC632D2"/>
    <w:rsid w:val="703F27C3"/>
    <w:rsid w:val="71CC6628"/>
    <w:rsid w:val="74876B1F"/>
    <w:rsid w:val="74CB4A6E"/>
    <w:rsid w:val="751E0BB4"/>
    <w:rsid w:val="767A7F05"/>
    <w:rsid w:val="76881E35"/>
    <w:rsid w:val="771B4239"/>
    <w:rsid w:val="77BD710A"/>
    <w:rsid w:val="77FC2E14"/>
    <w:rsid w:val="78404270"/>
    <w:rsid w:val="79002BFB"/>
    <w:rsid w:val="7C3E24B1"/>
    <w:rsid w:val="7D3816A9"/>
    <w:rsid w:val="7D4030EE"/>
    <w:rsid w:val="7FFD3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4"/>
    <w:semiHidden/>
    <w:unhideWhenUsed/>
    <w:qFormat/>
    <w:uiPriority w:val="99"/>
    <w:pPr>
      <w:jc w:val="left"/>
    </w:pPr>
  </w:style>
  <w:style w:type="paragraph" w:styleId="4">
    <w:name w:val="Date"/>
    <w:basedOn w:val="1"/>
    <w:next w:val="1"/>
    <w:link w:val="32"/>
    <w:semiHidden/>
    <w:unhideWhenUsed/>
    <w:qFormat/>
    <w:uiPriority w:val="99"/>
    <w:pPr>
      <w:ind w:left="100" w:leftChars="2500"/>
    </w:pPr>
  </w:style>
  <w:style w:type="paragraph" w:styleId="5">
    <w:name w:val="Balloon Text"/>
    <w:basedOn w:val="1"/>
    <w:link w:val="36"/>
    <w:semiHidden/>
    <w:unhideWhenUsed/>
    <w:qFormat/>
    <w:uiPriority w:val="99"/>
    <w:rPr>
      <w:sz w:val="18"/>
      <w:szCs w:val="18"/>
    </w:rPr>
  </w:style>
  <w:style w:type="paragraph" w:styleId="6">
    <w:name w:val="footer"/>
    <w:basedOn w:val="1"/>
    <w:link w:val="29"/>
    <w:qFormat/>
    <w:uiPriority w:val="0"/>
    <w:pPr>
      <w:tabs>
        <w:tab w:val="center" w:pos="4153"/>
        <w:tab w:val="right" w:pos="8306"/>
      </w:tabs>
      <w:snapToGrid w:val="0"/>
      <w:jc w:val="left"/>
    </w:pPr>
    <w:rPr>
      <w:sz w:val="18"/>
      <w:szCs w:val="18"/>
    </w:rPr>
  </w:style>
  <w:style w:type="paragraph" w:styleId="7">
    <w:name w:val="header"/>
    <w:basedOn w:val="1"/>
    <w:link w:val="30"/>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35"/>
    <w:semiHidden/>
    <w:unhideWhenUsed/>
    <w:qFormat/>
    <w:uiPriority w:val="99"/>
    <w:rPr>
      <w:b/>
      <w:bCs/>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22"/>
    <w:rPr>
      <w:b/>
    </w:rPr>
  </w:style>
  <w:style w:type="character" w:styleId="14">
    <w:name w:val="page number"/>
    <w:basedOn w:val="12"/>
    <w:qFormat/>
    <w:uiPriority w:val="0"/>
  </w:style>
  <w:style w:type="character" w:styleId="15">
    <w:name w:val="Emphasis"/>
    <w:basedOn w:val="12"/>
    <w:qFormat/>
    <w:uiPriority w:val="0"/>
    <w:rPr>
      <w:i/>
      <w:iCs/>
    </w:rPr>
  </w:style>
  <w:style w:type="character" w:styleId="16">
    <w:name w:val="Hyperlink"/>
    <w:basedOn w:val="12"/>
    <w:qFormat/>
    <w:uiPriority w:val="0"/>
    <w:rPr>
      <w:color w:val="232323"/>
      <w:u w:val="single"/>
    </w:rPr>
  </w:style>
  <w:style w:type="character" w:styleId="17">
    <w:name w:val="annotation reference"/>
    <w:basedOn w:val="12"/>
    <w:semiHidden/>
    <w:unhideWhenUsed/>
    <w:qFormat/>
    <w:uiPriority w:val="99"/>
    <w:rPr>
      <w:sz w:val="21"/>
      <w:szCs w:val="21"/>
    </w:rPr>
  </w:style>
  <w:style w:type="character" w:customStyle="1" w:styleId="18">
    <w:name w:val="bold cor"/>
    <w:basedOn w:val="12"/>
    <w:qFormat/>
    <w:uiPriority w:val="0"/>
  </w:style>
  <w:style w:type="paragraph" w:customStyle="1" w:styleId="19">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0">
    <w:name w:val="段 Char"/>
    <w:basedOn w:val="12"/>
    <w:link w:val="19"/>
    <w:qFormat/>
    <w:uiPriority w:val="0"/>
    <w:rPr>
      <w:rFonts w:ascii="宋体" w:hAnsi="Times New Roman" w:eastAsia="宋体" w:cs="Times New Roman"/>
      <w:kern w:val="0"/>
      <w:szCs w:val="20"/>
    </w:rPr>
  </w:style>
  <w:style w:type="paragraph" w:customStyle="1" w:styleId="21">
    <w:name w:val="章标题"/>
    <w:basedOn w:val="1"/>
    <w:next w:val="19"/>
    <w:link w:val="27"/>
    <w:qFormat/>
    <w:uiPriority w:val="0"/>
    <w:pPr>
      <w:numPr>
        <w:ilvl w:val="0"/>
        <w:numId w:val="1"/>
      </w:numPr>
      <w:autoSpaceDE w:val="0"/>
      <w:autoSpaceDN w:val="0"/>
      <w:adjustRightInd w:val="0"/>
    </w:pPr>
    <w:rPr>
      <w:kern w:val="0"/>
      <w:szCs w:val="21"/>
    </w:rPr>
  </w:style>
  <w:style w:type="paragraph" w:customStyle="1" w:styleId="22">
    <w:name w:val="一级条标题"/>
    <w:basedOn w:val="1"/>
    <w:next w:val="19"/>
    <w:link w:val="28"/>
    <w:qFormat/>
    <w:uiPriority w:val="0"/>
    <w:pPr>
      <w:numPr>
        <w:ilvl w:val="1"/>
        <w:numId w:val="1"/>
      </w:numPr>
      <w:autoSpaceDE w:val="0"/>
      <w:autoSpaceDN w:val="0"/>
      <w:adjustRightInd w:val="0"/>
    </w:pPr>
    <w:rPr>
      <w:kern w:val="0"/>
      <w:szCs w:val="21"/>
    </w:rPr>
  </w:style>
  <w:style w:type="paragraph" w:customStyle="1" w:styleId="23">
    <w:name w:val="二级条标题"/>
    <w:basedOn w:val="1"/>
    <w:link w:val="31"/>
    <w:qFormat/>
    <w:uiPriority w:val="0"/>
    <w:pPr>
      <w:numPr>
        <w:ilvl w:val="2"/>
        <w:numId w:val="1"/>
      </w:numPr>
      <w:autoSpaceDE w:val="0"/>
      <w:autoSpaceDN w:val="0"/>
      <w:adjustRightInd w:val="0"/>
    </w:pPr>
    <w:rPr>
      <w:kern w:val="0"/>
      <w:szCs w:val="21"/>
    </w:rPr>
  </w:style>
  <w:style w:type="paragraph" w:customStyle="1" w:styleId="24">
    <w:name w:val="三级条标题"/>
    <w:basedOn w:val="1"/>
    <w:qFormat/>
    <w:uiPriority w:val="0"/>
    <w:pPr>
      <w:numPr>
        <w:ilvl w:val="3"/>
        <w:numId w:val="1"/>
      </w:numPr>
      <w:autoSpaceDE w:val="0"/>
      <w:autoSpaceDN w:val="0"/>
      <w:adjustRightInd w:val="0"/>
    </w:pPr>
    <w:rPr>
      <w:kern w:val="0"/>
      <w:szCs w:val="21"/>
    </w:rPr>
  </w:style>
  <w:style w:type="paragraph" w:customStyle="1" w:styleId="25">
    <w:name w:val="四级条标题"/>
    <w:basedOn w:val="1"/>
    <w:qFormat/>
    <w:uiPriority w:val="0"/>
    <w:pPr>
      <w:numPr>
        <w:ilvl w:val="4"/>
        <w:numId w:val="1"/>
      </w:numPr>
      <w:autoSpaceDE w:val="0"/>
      <w:autoSpaceDN w:val="0"/>
      <w:adjustRightInd w:val="0"/>
    </w:pPr>
    <w:rPr>
      <w:kern w:val="0"/>
      <w:szCs w:val="21"/>
    </w:rPr>
  </w:style>
  <w:style w:type="paragraph" w:customStyle="1" w:styleId="26">
    <w:name w:val="五级条标题"/>
    <w:basedOn w:val="1"/>
    <w:qFormat/>
    <w:uiPriority w:val="0"/>
    <w:pPr>
      <w:numPr>
        <w:ilvl w:val="5"/>
        <w:numId w:val="1"/>
      </w:numPr>
      <w:autoSpaceDE w:val="0"/>
      <w:autoSpaceDN w:val="0"/>
      <w:adjustRightInd w:val="0"/>
    </w:pPr>
    <w:rPr>
      <w:kern w:val="0"/>
      <w:szCs w:val="21"/>
    </w:rPr>
  </w:style>
  <w:style w:type="character" w:customStyle="1" w:styleId="27">
    <w:name w:val="章标题 Char"/>
    <w:basedOn w:val="12"/>
    <w:link w:val="21"/>
    <w:qFormat/>
    <w:uiPriority w:val="0"/>
    <w:rPr>
      <w:rFonts w:ascii="Times New Roman" w:hAnsi="Times New Roman" w:eastAsia="宋体" w:cs="Times New Roman"/>
      <w:kern w:val="0"/>
      <w:szCs w:val="21"/>
    </w:rPr>
  </w:style>
  <w:style w:type="character" w:customStyle="1" w:styleId="28">
    <w:name w:val="一级条标题 Char"/>
    <w:basedOn w:val="12"/>
    <w:link w:val="22"/>
    <w:qFormat/>
    <w:uiPriority w:val="0"/>
    <w:rPr>
      <w:rFonts w:ascii="Times New Roman" w:hAnsi="Times New Roman" w:eastAsia="宋体" w:cs="Times New Roman"/>
      <w:kern w:val="0"/>
      <w:szCs w:val="21"/>
    </w:rPr>
  </w:style>
  <w:style w:type="character" w:customStyle="1" w:styleId="29">
    <w:name w:val="页脚 Char"/>
    <w:basedOn w:val="12"/>
    <w:link w:val="6"/>
    <w:qFormat/>
    <w:uiPriority w:val="0"/>
    <w:rPr>
      <w:rFonts w:ascii="Times New Roman" w:hAnsi="Times New Roman" w:eastAsia="宋体" w:cs="Times New Roman"/>
      <w:sz w:val="18"/>
      <w:szCs w:val="18"/>
    </w:rPr>
  </w:style>
  <w:style w:type="character" w:customStyle="1" w:styleId="30">
    <w:name w:val="页眉 Char"/>
    <w:basedOn w:val="12"/>
    <w:link w:val="7"/>
    <w:qFormat/>
    <w:uiPriority w:val="99"/>
    <w:rPr>
      <w:rFonts w:ascii="Times New Roman" w:hAnsi="Times New Roman" w:eastAsia="宋体" w:cs="Times New Roman"/>
      <w:sz w:val="18"/>
      <w:szCs w:val="18"/>
    </w:rPr>
  </w:style>
  <w:style w:type="character" w:customStyle="1" w:styleId="31">
    <w:name w:val="二级条标题 Char"/>
    <w:basedOn w:val="28"/>
    <w:link w:val="23"/>
    <w:qFormat/>
    <w:uiPriority w:val="0"/>
    <w:rPr>
      <w:rFonts w:ascii="Times New Roman" w:hAnsi="Times New Roman" w:eastAsia="宋体" w:cs="Times New Roman"/>
      <w:kern w:val="0"/>
      <w:szCs w:val="21"/>
    </w:rPr>
  </w:style>
  <w:style w:type="character" w:customStyle="1" w:styleId="32">
    <w:name w:val="日期 Char"/>
    <w:basedOn w:val="12"/>
    <w:link w:val="4"/>
    <w:semiHidden/>
    <w:qFormat/>
    <w:uiPriority w:val="99"/>
    <w:rPr>
      <w:rFonts w:ascii="Times New Roman" w:hAnsi="Times New Roman" w:eastAsia="宋体" w:cs="Times New Roman"/>
      <w:szCs w:val="24"/>
    </w:rPr>
  </w:style>
  <w:style w:type="paragraph" w:styleId="33">
    <w:name w:val="List Paragraph"/>
    <w:basedOn w:val="1"/>
    <w:qFormat/>
    <w:uiPriority w:val="34"/>
    <w:pPr>
      <w:ind w:firstLine="420" w:firstLineChars="200"/>
    </w:pPr>
  </w:style>
  <w:style w:type="character" w:customStyle="1" w:styleId="34">
    <w:name w:val="批注文字 Char"/>
    <w:basedOn w:val="12"/>
    <w:link w:val="3"/>
    <w:semiHidden/>
    <w:qFormat/>
    <w:uiPriority w:val="99"/>
    <w:rPr>
      <w:rFonts w:ascii="Times New Roman" w:hAnsi="Times New Roman" w:eastAsia="宋体" w:cs="Times New Roman"/>
      <w:szCs w:val="24"/>
    </w:rPr>
  </w:style>
  <w:style w:type="character" w:customStyle="1" w:styleId="35">
    <w:name w:val="批注主题 Char"/>
    <w:basedOn w:val="34"/>
    <w:link w:val="9"/>
    <w:semiHidden/>
    <w:qFormat/>
    <w:uiPriority w:val="99"/>
    <w:rPr>
      <w:rFonts w:ascii="Times New Roman" w:hAnsi="Times New Roman" w:eastAsia="宋体" w:cs="Times New Roman"/>
      <w:b/>
      <w:bCs/>
      <w:szCs w:val="24"/>
    </w:rPr>
  </w:style>
  <w:style w:type="character" w:customStyle="1" w:styleId="36">
    <w:name w:val="批注框文本 Char"/>
    <w:basedOn w:val="12"/>
    <w:link w:val="5"/>
    <w:semiHidden/>
    <w:qFormat/>
    <w:uiPriority w:val="99"/>
    <w:rPr>
      <w:rFonts w:ascii="Times New Roman" w:hAnsi="Times New Roman" w:eastAsia="宋体" w:cs="Times New Roman"/>
      <w:sz w:val="18"/>
      <w:szCs w:val="18"/>
    </w:rPr>
  </w:style>
  <w:style w:type="table" w:customStyle="1" w:styleId="37">
    <w:name w:val="网格型1"/>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8">
    <w:name w:val="标准文件_一级条标题"/>
    <w:basedOn w:val="39"/>
    <w:next w:val="40"/>
    <w:qFormat/>
    <w:uiPriority w:val="0"/>
    <w:pPr>
      <w:numPr>
        <w:ilvl w:val="2"/>
      </w:numPr>
      <w:spacing w:before="50" w:beforeLines="50" w:after="50" w:afterLines="50"/>
      <w:ind w:left="1135"/>
      <w:outlineLvl w:val="1"/>
    </w:pPr>
  </w:style>
  <w:style w:type="paragraph" w:customStyle="1" w:styleId="39">
    <w:name w:val="标准文件_章标题"/>
    <w:next w:val="4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1">
    <w:name w:val="标准文件_二级条标题"/>
    <w:next w:val="4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42">
    <w:name w:val="font11"/>
    <w:basedOn w:val="12"/>
    <w:qFormat/>
    <w:uiPriority w:val="0"/>
    <w:rPr>
      <w:rFonts w:hint="eastAsia" w:ascii="宋体" w:hAnsi="宋体" w:eastAsia="宋体" w:cs="宋体"/>
      <w:color w:val="000000"/>
      <w:sz w:val="22"/>
      <w:szCs w:val="22"/>
      <w:u w:val="none"/>
    </w:rPr>
  </w:style>
  <w:style w:type="paragraph" w:customStyle="1" w:styleId="43">
    <w:name w:val="1"/>
    <w:basedOn w:val="1"/>
    <w:qFormat/>
    <w:uiPriority w:val="0"/>
  </w:style>
  <w:style w:type="paragraph" w:customStyle="1" w:styleId="44">
    <w:name w:val="标准文件_正文表标题"/>
    <w:next w:val="40"/>
    <w:qFormat/>
    <w:uiPriority w:val="0"/>
    <w:pPr>
      <w:numPr>
        <w:ilvl w:val="0"/>
        <w:numId w:val="3"/>
      </w:numPr>
      <w:tabs>
        <w:tab w:val="left" w:pos="0"/>
      </w:tabs>
      <w:spacing w:before="50" w:beforeLines="50" w:after="50" w:afterLines="50"/>
      <w:jc w:val="center"/>
    </w:pPr>
    <w:rPr>
      <w:rFonts w:ascii="黑体" w:hAnsi="Times New Roman" w:eastAsia="黑体" w:cs="Times New Roman"/>
      <w:sz w:val="21"/>
      <w:lang w:val="en-US" w:eastAsia="zh-CN" w:bidi="ar-SA"/>
    </w:rPr>
  </w:style>
  <w:style w:type="character" w:customStyle="1" w:styleId="45">
    <w:name w:val="ca-9"/>
    <w:basedOn w:val="12"/>
    <w:qFormat/>
    <w:uiPriority w:val="0"/>
  </w:style>
  <w:style w:type="character" w:customStyle="1" w:styleId="46">
    <w:name w:val="ca-2"/>
    <w:basedOn w:val="12"/>
    <w:qFormat/>
    <w:uiPriority w:val="0"/>
  </w:style>
  <w:style w:type="paragraph" w:customStyle="1" w:styleId="47">
    <w:name w:val="二级无"/>
    <w:basedOn w:val="23"/>
    <w:qFormat/>
    <w:uiPriority w:val="0"/>
    <w:pPr>
      <w:widowControl/>
      <w:numPr>
        <w:ilvl w:val="0"/>
        <w:numId w:val="0"/>
      </w:numPr>
      <w:autoSpaceDE/>
      <w:autoSpaceDN/>
      <w:adjustRightInd/>
      <w:jc w:val="left"/>
      <w:outlineLvl w:val="3"/>
    </w:pPr>
    <w:rPr>
      <w:rFonts w:ascii="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theme>
</file>

<file path=docProps/app.xml><?xml version="1.0" encoding="utf-8"?>
<Properties xmlns="http://schemas.openxmlformats.org/officeDocument/2006/extended-properties" xmlns:vt="http://schemas.openxmlformats.org/officeDocument/2006/docPropsVTypes">
  <Template>Normal.dotm</Template>
  <Pages>7</Pages>
  <Words>1884</Words>
  <Characters>10742</Characters>
  <Lines>89</Lines>
  <Paragraphs>25</Paragraphs>
  <TotalTime>7</TotalTime>
  <ScaleCrop>false</ScaleCrop>
  <LinksUpToDate>false</LinksUpToDate>
  <CharactersWithSpaces>12601</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2021-12-01T01:57:00Z</dcterms:created>
  <dc:creator>Windows 用户</dc:creator>
  <cp:lastModifiedBy>anxy2</cp:lastModifiedBy>
  <cp:lastPrinted>2024-03-23T10:27:00Z</cp:lastPrinted>
  <dcterms:modified xsi:type="dcterms:W3CDTF">2025-04-29T03:33:33Z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FEE8D54362B04EAFB6E6815F475A3005</vt:lpwstr>
  </property>
</Properties>
</file>